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9D3EC" w14:textId="77777777" w:rsidR="008F21FD" w:rsidRDefault="00950733">
      <w:pPr>
        <w:jc w:val="center"/>
        <w:rPr>
          <w:rFonts w:cs="Times New Roman"/>
          <w:lang w:val="en-GB"/>
        </w:rPr>
      </w:pPr>
      <w:r>
        <w:rPr>
          <w:rFonts w:cs="Times New Roman"/>
          <w:b/>
          <w:bCs/>
          <w:lang w:val="en-GB"/>
        </w:rPr>
        <w:t>AMENDMENT AGREEMENT</w:t>
      </w:r>
      <w:r>
        <w:rPr>
          <w:rFonts w:cs="Times New Roman"/>
          <w:b/>
          <w:bCs/>
          <w:lang w:val="en-GB"/>
        </w:rPr>
        <w:br/>
        <w:t>TO THE [[2001/2007/2013] FBF MASTER AGREEMENT RELATING TO TRANSACTIONS ON FORWARD FINANCIAL INSTRUMENTS]/[1995 AFB MASTER AGREEMENT FOR FOREIGN EXCHANGE AND DERIVATIVES TRANSACTIONS]</w:t>
      </w:r>
      <w:r>
        <w:rPr>
          <w:rFonts w:cs="Times New Roman"/>
          <w:b/>
          <w:bCs/>
          <w:caps/>
          <w:lang w:val="en-GB"/>
        </w:rPr>
        <w:br/>
        <w:t>dated [</w:t>
      </w:r>
      <w:r>
        <w:rPr>
          <w:rFonts w:cs="Times New Roman"/>
          <w:b/>
          <w:bCs/>
          <w:caps/>
          <w:lang w:val="en-GB"/>
        </w:rPr>
        <w:sym w:font="Symbol" w:char="F0B7"/>
      </w:r>
      <w:r>
        <w:rPr>
          <w:rFonts w:cs="Times New Roman"/>
          <w:b/>
          <w:bCs/>
          <w:caps/>
          <w:lang w:val="en-GB"/>
        </w:rPr>
        <w:t>]</w:t>
      </w:r>
    </w:p>
    <w:p w14:paraId="6A93E35E" w14:textId="77777777" w:rsidR="008F21FD" w:rsidRDefault="008F21FD">
      <w:pPr>
        <w:jc w:val="both"/>
        <w:rPr>
          <w:rFonts w:cs="Times New Roman"/>
          <w:lang w:val="en-GB"/>
        </w:rPr>
      </w:pPr>
    </w:p>
    <w:p w14:paraId="468676CC" w14:textId="77777777" w:rsidR="008F21FD" w:rsidRDefault="00950733">
      <w:pPr>
        <w:jc w:val="both"/>
        <w:rPr>
          <w:rFonts w:cs="Times New Roman"/>
          <w:lang w:val="en-GB"/>
        </w:rPr>
      </w:pPr>
      <w:r>
        <w:rPr>
          <w:rFonts w:cs="Times New Roman"/>
          <w:lang w:val="en-GB"/>
        </w:rPr>
        <w:t>Between</w:t>
      </w:r>
    </w:p>
    <w:p w14:paraId="2F884E4C" w14:textId="77777777" w:rsidR="008F21FD" w:rsidRDefault="00950733">
      <w:pPr>
        <w:jc w:val="both"/>
        <w:rPr>
          <w:rFonts w:cs="Times New Roman"/>
          <w:lang w:val="en-GB"/>
        </w:rPr>
      </w:pPr>
      <w:r>
        <w:rPr>
          <w:rFonts w:cs="Times New Roman"/>
          <w:b/>
          <w:bCs/>
          <w:lang w:val="en-GB"/>
        </w:rPr>
        <w:t>[</w:t>
      </w:r>
      <w:r>
        <w:rPr>
          <w:rFonts w:cs="Times New Roman"/>
          <w:b/>
          <w:bCs/>
          <w:lang w:val="en-GB"/>
        </w:rPr>
        <w:sym w:font="Symbol" w:char="F0B7"/>
      </w:r>
      <w:r>
        <w:rPr>
          <w:rFonts w:cs="Times New Roman"/>
          <w:b/>
          <w:bCs/>
          <w:lang w:val="en-GB"/>
        </w:rPr>
        <w:t>]</w:t>
      </w:r>
      <w:r>
        <w:rPr>
          <w:rFonts w:cs="Times New Roman"/>
          <w:lang w:val="en-GB"/>
        </w:rPr>
        <w:t>, [corporate form] having its registered office [</w:t>
      </w:r>
      <w:r>
        <w:rPr>
          <w:rFonts w:cs="Times New Roman"/>
          <w:lang w:val="en-GB"/>
        </w:rPr>
        <w:sym w:font="Symbol" w:char="F0B7"/>
      </w:r>
      <w:r>
        <w:rPr>
          <w:rFonts w:cs="Times New Roman"/>
          <w:lang w:val="en-GB"/>
        </w:rPr>
        <w:t>], registered with [the Trade and Companies Register of [</w:t>
      </w:r>
      <w:r>
        <w:rPr>
          <w:rFonts w:cs="Times New Roman"/>
          <w:lang w:val="en-GB"/>
        </w:rPr>
        <w:sym w:font="Symbol" w:char="F0B7"/>
      </w:r>
      <w:r>
        <w:rPr>
          <w:rFonts w:cs="Times New Roman"/>
          <w:lang w:val="en-GB"/>
        </w:rPr>
        <w:t xml:space="preserve">] under </w:t>
      </w:r>
      <w:r>
        <w:t>number</w:t>
      </w:r>
      <w:r>
        <w:rPr>
          <w:rFonts w:cs="Times New Roman"/>
          <w:lang w:val="en-GB"/>
        </w:rPr>
        <w:t xml:space="preserve"> [</w:t>
      </w:r>
      <w:r>
        <w:rPr>
          <w:rFonts w:cs="Times New Roman"/>
          <w:lang w:val="en-GB"/>
        </w:rPr>
        <w:sym w:font="Symbol" w:char="F0B7"/>
      </w:r>
      <w:r>
        <w:rPr>
          <w:rFonts w:cs="Times New Roman"/>
          <w:lang w:val="en-GB"/>
        </w:rPr>
        <w:t>]], duly represented for the purposes hereof,</w:t>
      </w:r>
    </w:p>
    <w:p w14:paraId="1B307973" w14:textId="77777777" w:rsidR="008F21FD" w:rsidRDefault="00950733">
      <w:pPr>
        <w:jc w:val="both"/>
        <w:rPr>
          <w:rFonts w:cs="Times New Roman"/>
          <w:lang w:val="en-GB"/>
        </w:rPr>
      </w:pPr>
      <w:r>
        <w:rPr>
          <w:rFonts w:cs="Times New Roman"/>
          <w:lang w:val="en-GB"/>
        </w:rPr>
        <w:t>("</w:t>
      </w:r>
      <w:r>
        <w:rPr>
          <w:rFonts w:cs="Times New Roman"/>
          <w:b/>
          <w:bCs/>
          <w:lang w:val="en-GB"/>
        </w:rPr>
        <w:t>Party A</w:t>
      </w:r>
      <w:r>
        <w:rPr>
          <w:rFonts w:cs="Times New Roman"/>
          <w:lang w:val="en-GB"/>
        </w:rPr>
        <w:t>") ;</w:t>
      </w:r>
    </w:p>
    <w:p w14:paraId="2DB00154" w14:textId="77777777" w:rsidR="008F21FD" w:rsidRDefault="00950733">
      <w:pPr>
        <w:jc w:val="both"/>
        <w:rPr>
          <w:rFonts w:cs="Times New Roman"/>
          <w:lang w:val="en-GB"/>
        </w:rPr>
      </w:pPr>
      <w:r>
        <w:rPr>
          <w:rFonts w:cs="Times New Roman"/>
          <w:lang w:val="en-GB"/>
        </w:rPr>
        <w:t>and</w:t>
      </w:r>
    </w:p>
    <w:p w14:paraId="542FB11B" w14:textId="77777777" w:rsidR="008F21FD" w:rsidRDefault="00950733">
      <w:pPr>
        <w:jc w:val="both"/>
        <w:rPr>
          <w:rFonts w:cs="Times New Roman"/>
          <w:lang w:val="en-GB"/>
        </w:rPr>
      </w:pPr>
      <w:r>
        <w:rPr>
          <w:rFonts w:cs="Times New Roman"/>
          <w:b/>
          <w:bCs/>
          <w:lang w:val="en-GB"/>
        </w:rPr>
        <w:t>[</w:t>
      </w:r>
      <w:r>
        <w:rPr>
          <w:rFonts w:cs="Times New Roman"/>
          <w:b/>
          <w:bCs/>
          <w:lang w:val="en-GB"/>
        </w:rPr>
        <w:sym w:font="Symbol" w:char="F0B7"/>
      </w:r>
      <w:r>
        <w:rPr>
          <w:rFonts w:cs="Times New Roman"/>
          <w:b/>
          <w:bCs/>
          <w:lang w:val="en-GB"/>
        </w:rPr>
        <w:t>]</w:t>
      </w:r>
      <w:r>
        <w:rPr>
          <w:rFonts w:cs="Times New Roman"/>
          <w:lang w:val="en-GB"/>
        </w:rPr>
        <w:t>, [corporate form] having its registered office [</w:t>
      </w:r>
      <w:r>
        <w:rPr>
          <w:rFonts w:cs="Times New Roman"/>
          <w:lang w:val="en-GB"/>
        </w:rPr>
        <w:sym w:font="Symbol" w:char="F0B7"/>
      </w:r>
      <w:r>
        <w:rPr>
          <w:rFonts w:cs="Times New Roman"/>
          <w:lang w:val="en-GB"/>
        </w:rPr>
        <w:t>], registered with [the Trade and Companies Register of [</w:t>
      </w:r>
      <w:r>
        <w:rPr>
          <w:rFonts w:cs="Times New Roman"/>
          <w:lang w:val="en-GB"/>
        </w:rPr>
        <w:sym w:font="Symbol" w:char="F0B7"/>
      </w:r>
      <w:r>
        <w:rPr>
          <w:rFonts w:cs="Times New Roman"/>
          <w:lang w:val="en-GB"/>
        </w:rPr>
        <w:t>] under number [</w:t>
      </w:r>
      <w:r>
        <w:rPr>
          <w:rFonts w:cs="Times New Roman"/>
          <w:lang w:val="en-GB"/>
        </w:rPr>
        <w:sym w:font="Symbol" w:char="F0B7"/>
      </w:r>
      <w:r>
        <w:rPr>
          <w:rFonts w:cs="Times New Roman"/>
          <w:lang w:val="en-GB"/>
        </w:rPr>
        <w:t>]], duly represented for the purposes hereof,</w:t>
      </w:r>
    </w:p>
    <w:p w14:paraId="44AA3E7C" w14:textId="77777777" w:rsidR="008F21FD" w:rsidRDefault="00950733">
      <w:pPr>
        <w:jc w:val="both"/>
        <w:rPr>
          <w:rFonts w:cs="Times New Roman"/>
          <w:lang w:val="en-GB"/>
        </w:rPr>
      </w:pPr>
      <w:r>
        <w:rPr>
          <w:rFonts w:cs="Times New Roman"/>
          <w:lang w:val="en-GB"/>
        </w:rPr>
        <w:t>("</w:t>
      </w:r>
      <w:r>
        <w:rPr>
          <w:rFonts w:cs="Times New Roman"/>
          <w:b/>
          <w:bCs/>
          <w:lang w:val="en-GB"/>
        </w:rPr>
        <w:t>Party B</w:t>
      </w:r>
      <w:r>
        <w:rPr>
          <w:rFonts w:cs="Times New Roman"/>
          <w:lang w:val="en-GB"/>
        </w:rPr>
        <w:t>" and, together with Party A, the "</w:t>
      </w:r>
      <w:r>
        <w:rPr>
          <w:rFonts w:cs="Times New Roman"/>
          <w:b/>
          <w:bCs/>
          <w:lang w:val="en-GB"/>
        </w:rPr>
        <w:t>Parties</w:t>
      </w:r>
      <w:r>
        <w:rPr>
          <w:rFonts w:cs="Times New Roman"/>
          <w:lang w:val="en-GB"/>
        </w:rPr>
        <w:t>") ;</w:t>
      </w:r>
    </w:p>
    <w:p w14:paraId="522C078B" w14:textId="77777777" w:rsidR="008F21FD" w:rsidRDefault="008F21FD">
      <w:pPr>
        <w:jc w:val="both"/>
        <w:rPr>
          <w:rFonts w:cs="Times New Roman"/>
          <w:lang w:val="en-GB"/>
        </w:rPr>
      </w:pPr>
    </w:p>
    <w:p w14:paraId="7E2A39EE" w14:textId="77777777" w:rsidR="008F21FD" w:rsidRDefault="00950733">
      <w:pPr>
        <w:jc w:val="both"/>
        <w:rPr>
          <w:rFonts w:cs="Times New Roman"/>
          <w:b/>
          <w:bCs/>
          <w:lang w:val="en-GB"/>
        </w:rPr>
      </w:pPr>
      <w:r>
        <w:rPr>
          <w:rFonts w:cs="Times New Roman"/>
          <w:b/>
          <w:bCs/>
          <w:lang w:val="en-GB"/>
        </w:rPr>
        <w:t>WHEREAS:</w:t>
      </w:r>
    </w:p>
    <w:p w14:paraId="34FD68E1" w14:textId="77777777" w:rsidR="008F21FD" w:rsidRDefault="00950733">
      <w:pPr>
        <w:ind w:left="567" w:hanging="567"/>
        <w:jc w:val="both"/>
        <w:rPr>
          <w:rFonts w:cs="Times New Roman"/>
          <w:lang w:val="en-GB"/>
        </w:rPr>
      </w:pPr>
      <w:r>
        <w:rPr>
          <w:rFonts w:cs="Times New Roman"/>
          <w:lang w:val="en-GB"/>
        </w:rPr>
        <w:t>(A)</w:t>
      </w:r>
      <w:r>
        <w:rPr>
          <w:rFonts w:cs="Times New Roman"/>
          <w:lang w:val="en-GB"/>
        </w:rPr>
        <w:tab/>
        <w:t>The Parties entered into on [</w:t>
      </w:r>
      <w:r>
        <w:rPr>
          <w:rFonts w:cs="Times New Roman"/>
          <w:lang w:val="en-GB"/>
        </w:rPr>
        <w:sym w:font="Symbol" w:char="F0B7"/>
      </w:r>
      <w:r>
        <w:rPr>
          <w:rFonts w:cs="Times New Roman"/>
          <w:lang w:val="en-GB"/>
        </w:rPr>
        <w:t xml:space="preserve">] a [Master agreement relating to transactions on forward financial instruments ([2001/2007/2013] version) published by the </w:t>
      </w:r>
      <w:r>
        <w:rPr>
          <w:rFonts w:cs="Times New Roman"/>
          <w:i/>
          <w:lang w:val="en-GB"/>
        </w:rPr>
        <w:t xml:space="preserve">Fédération </w:t>
      </w:r>
      <w:proofErr w:type="spellStart"/>
      <w:r>
        <w:rPr>
          <w:rFonts w:cs="Times New Roman"/>
          <w:i/>
          <w:lang w:val="en-GB"/>
        </w:rPr>
        <w:t>Bancaire</w:t>
      </w:r>
      <w:proofErr w:type="spellEnd"/>
      <w:r>
        <w:rPr>
          <w:rFonts w:cs="Times New Roman"/>
          <w:i/>
          <w:lang w:val="en-GB"/>
        </w:rPr>
        <w:t xml:space="preserve"> </w:t>
      </w:r>
      <w:proofErr w:type="spellStart"/>
      <w:r>
        <w:rPr>
          <w:rFonts w:cs="Times New Roman"/>
          <w:i/>
          <w:lang w:val="en-GB"/>
        </w:rPr>
        <w:t>Française</w:t>
      </w:r>
      <w:proofErr w:type="spellEnd"/>
      <w:r>
        <w:rPr>
          <w:rFonts w:cs="Times New Roman"/>
          <w:lang w:val="en-GB"/>
        </w:rPr>
        <w:t xml:space="preserve"> ("</w:t>
      </w:r>
      <w:r>
        <w:rPr>
          <w:rFonts w:cs="Times New Roman"/>
          <w:b/>
          <w:lang w:val="en-GB"/>
        </w:rPr>
        <w:t>FBF</w:t>
      </w:r>
      <w:r>
        <w:rPr>
          <w:rFonts w:cs="Times New Roman"/>
          <w:lang w:val="en-GB"/>
        </w:rPr>
        <w:t xml:space="preserve">")]/[Master agreement for foreign exchange and derivatives transactions (1995 version) published by the </w:t>
      </w:r>
      <w:r>
        <w:rPr>
          <w:rFonts w:cs="Times New Roman"/>
          <w:i/>
          <w:lang w:val="en-GB"/>
        </w:rPr>
        <w:t xml:space="preserve">Association </w:t>
      </w:r>
      <w:proofErr w:type="spellStart"/>
      <w:r>
        <w:rPr>
          <w:rFonts w:cs="Times New Roman"/>
          <w:i/>
          <w:lang w:val="en-GB"/>
        </w:rPr>
        <w:t>Française</w:t>
      </w:r>
      <w:proofErr w:type="spellEnd"/>
      <w:r>
        <w:rPr>
          <w:rFonts w:cs="Times New Roman"/>
          <w:i/>
          <w:lang w:val="en-GB"/>
        </w:rPr>
        <w:t xml:space="preserve"> des </w:t>
      </w:r>
      <w:proofErr w:type="spellStart"/>
      <w:r>
        <w:rPr>
          <w:rFonts w:cs="Times New Roman"/>
          <w:i/>
          <w:lang w:val="en-GB"/>
        </w:rPr>
        <w:t>Banques</w:t>
      </w:r>
      <w:proofErr w:type="spellEnd"/>
      <w:r>
        <w:rPr>
          <w:rFonts w:cs="Times New Roman"/>
          <w:lang w:val="en-GB"/>
        </w:rPr>
        <w:t xml:space="preserve"> ("</w:t>
      </w:r>
      <w:r>
        <w:rPr>
          <w:rFonts w:cs="Times New Roman"/>
          <w:b/>
          <w:lang w:val="en-GB"/>
        </w:rPr>
        <w:t>AFB</w:t>
      </w:r>
      <w:r>
        <w:rPr>
          <w:rFonts w:cs="Times New Roman"/>
          <w:lang w:val="en-GB"/>
        </w:rPr>
        <w:t>")], as supplemented and/or amended by its Schedule and, where applicable, as subsequently amended (the "</w:t>
      </w:r>
      <w:r>
        <w:rPr>
          <w:rFonts w:cs="Times New Roman"/>
          <w:b/>
          <w:lang w:val="en-GB"/>
        </w:rPr>
        <w:t>Agreement</w:t>
      </w:r>
      <w:r>
        <w:rPr>
          <w:rFonts w:cs="Times New Roman"/>
          <w:lang w:val="en-GB"/>
        </w:rPr>
        <w:t xml:space="preserve">"). </w:t>
      </w:r>
    </w:p>
    <w:p w14:paraId="78AD5EAB" w14:textId="77777777" w:rsidR="008F21FD" w:rsidRDefault="00950733">
      <w:pPr>
        <w:ind w:left="567" w:hanging="567"/>
        <w:jc w:val="both"/>
        <w:rPr>
          <w:rFonts w:cs="Times New Roman"/>
          <w:lang w:val="en-GB"/>
        </w:rPr>
      </w:pPr>
      <w:r>
        <w:rPr>
          <w:rFonts w:cs="Times New Roman"/>
          <w:lang w:val="en-GB"/>
        </w:rPr>
        <w:t>(B)</w:t>
      </w:r>
      <w:r>
        <w:rPr>
          <w:rFonts w:cs="Times New Roman"/>
          <w:lang w:val="en-GB"/>
        </w:rPr>
        <w:tab/>
        <w:t>On 19 September 2018, the International Swaps and Derivatives Association, Inc. ('"</w:t>
      </w:r>
      <w:r>
        <w:rPr>
          <w:rFonts w:cs="Times New Roman"/>
          <w:b/>
          <w:lang w:val="en-GB"/>
        </w:rPr>
        <w:t>ISDA</w:t>
      </w:r>
      <w:r>
        <w:rPr>
          <w:rFonts w:cs="Times New Roman"/>
          <w:lang w:val="en-GB"/>
        </w:rPr>
        <w:t>"®</w:t>
      </w:r>
      <w:r>
        <w:rPr>
          <w:rStyle w:val="Appelnotedebasdep"/>
          <w:rFonts w:cs="Times New Roman"/>
          <w:lang w:val="en-GB"/>
        </w:rPr>
        <w:footnoteReference w:id="1"/>
      </w:r>
      <w:r>
        <w:rPr>
          <w:rFonts w:cs="Times New Roman"/>
          <w:lang w:val="en-GB"/>
        </w:rPr>
        <w:t>) published the ISDA Benchmarks Supplement to allow parties to include new provisions in confirmations that refer to ISDA Definitions (as defined below), notably in order to comply with certain requirements of Regulation (EU) 2016/1011 of the European Parliament and of the Council of 8 June 2016 on indices used as benchmarks in financial instruments and financial contracts or to measure the performance of investment funds and amending Directives 2008/48/EC and 2014/17/EU and Regulation (EU) 596/2014.</w:t>
      </w:r>
    </w:p>
    <w:p w14:paraId="2E15CBA5" w14:textId="77777777" w:rsidR="008F21FD" w:rsidRDefault="00950733">
      <w:pPr>
        <w:ind w:left="567" w:hanging="567"/>
        <w:jc w:val="both"/>
        <w:rPr>
          <w:rFonts w:cs="Times New Roman"/>
          <w:lang w:val="en-GB"/>
        </w:rPr>
      </w:pPr>
      <w:r>
        <w:rPr>
          <w:rFonts w:cs="Times New Roman"/>
          <w:lang w:val="en-GB"/>
        </w:rPr>
        <w:lastRenderedPageBreak/>
        <w:t>(C)</w:t>
      </w:r>
      <w:r>
        <w:rPr>
          <w:rFonts w:cs="Times New Roman"/>
          <w:lang w:val="en-GB"/>
        </w:rPr>
        <w:tab/>
        <w:t>On [</w:t>
      </w:r>
      <w:r>
        <w:rPr>
          <w:rFonts w:ascii="Symbol" w:hAnsi="Symbol" w:cs="Times New Roman"/>
          <w:lang w:val="en-GB"/>
        </w:rPr>
        <w:sym w:font="Symbol" w:char="F0B7"/>
      </w:r>
      <w:r>
        <w:rPr>
          <w:rFonts w:cs="Times New Roman"/>
          <w:lang w:val="en-GB"/>
        </w:rPr>
        <w:t>], the FBF published a standard provision to incorporate by reference the provisions of the ISDA Benchmarks Supplement into master agreements published by FBF or AFB or, as applicable, confirmations governed by these agreements, incorporating by reference the ISDA Definitions.</w:t>
      </w:r>
    </w:p>
    <w:p w14:paraId="153246CB" w14:textId="77777777" w:rsidR="008F21FD" w:rsidRDefault="00950733">
      <w:pPr>
        <w:ind w:left="567" w:hanging="567"/>
        <w:jc w:val="both"/>
        <w:rPr>
          <w:rFonts w:cs="Times New Roman"/>
          <w:lang w:val="en-GB"/>
        </w:rPr>
      </w:pPr>
      <w:r>
        <w:rPr>
          <w:rFonts w:cs="Times New Roman"/>
          <w:lang w:val="en-GB"/>
        </w:rPr>
        <w:t>(D)</w:t>
      </w:r>
      <w:r>
        <w:rPr>
          <w:rFonts w:cs="Times New Roman"/>
          <w:lang w:val="en-GB"/>
        </w:rPr>
        <w:tab/>
        <w:t>By signing this Amendment Agreement, the Parties wish to amend the Agreement to incorporate the standard provision published by the FBF.</w:t>
      </w:r>
    </w:p>
    <w:p w14:paraId="44D2A905" w14:textId="77777777" w:rsidR="008F21FD" w:rsidRDefault="00950733">
      <w:pPr>
        <w:jc w:val="both"/>
        <w:rPr>
          <w:rFonts w:cs="Times New Roman"/>
          <w:lang w:val="en-GB"/>
        </w:rPr>
      </w:pPr>
      <w:r>
        <w:rPr>
          <w:rFonts w:cs="Times New Roman"/>
          <w:lang w:val="en-GB"/>
        </w:rPr>
        <w:t>Capitalized terms used but not defined in this Amendment Agreement shall have the meaning ascribed to them in the Agreement.</w:t>
      </w:r>
    </w:p>
    <w:p w14:paraId="60AB0566" w14:textId="77777777" w:rsidR="008F21FD" w:rsidRDefault="00950733">
      <w:pPr>
        <w:keepNext/>
        <w:keepLines/>
        <w:jc w:val="both"/>
        <w:rPr>
          <w:rFonts w:cs="Times New Roman"/>
          <w:b/>
          <w:bCs/>
          <w:caps/>
          <w:lang w:val="en-GB"/>
        </w:rPr>
      </w:pPr>
      <w:r>
        <w:rPr>
          <w:rFonts w:cs="Times New Roman"/>
          <w:b/>
          <w:bCs/>
          <w:caps/>
          <w:lang w:val="en-GB"/>
        </w:rPr>
        <w:t>The Parties hereby agree as follows:</w:t>
      </w:r>
    </w:p>
    <w:p w14:paraId="1BFAF911" w14:textId="77777777" w:rsidR="008F21FD" w:rsidRDefault="00950733">
      <w:pPr>
        <w:keepNext/>
        <w:keepLines/>
        <w:jc w:val="both"/>
        <w:rPr>
          <w:rFonts w:cs="Times New Roman"/>
          <w:b/>
          <w:bCs/>
          <w:caps/>
          <w:lang w:val="en-GB"/>
        </w:rPr>
      </w:pPr>
      <w:r>
        <w:rPr>
          <w:rFonts w:cs="Times New Roman"/>
          <w:b/>
          <w:bCs/>
          <w:caps/>
          <w:lang w:val="en-GB"/>
        </w:rPr>
        <w:t>1.</w:t>
      </w:r>
      <w:r>
        <w:rPr>
          <w:rFonts w:cs="Times New Roman"/>
          <w:b/>
          <w:bCs/>
          <w:caps/>
          <w:lang w:val="en-GB"/>
        </w:rPr>
        <w:tab/>
        <w:t>Amendments to the Agreement</w:t>
      </w:r>
    </w:p>
    <w:p w14:paraId="0631C0F2" w14:textId="77777777" w:rsidR="008F21FD" w:rsidRDefault="00950733">
      <w:pPr>
        <w:ind w:left="709"/>
        <w:jc w:val="both"/>
        <w:rPr>
          <w:rFonts w:cs="Times New Roman"/>
          <w:lang w:val="en-GB"/>
        </w:rPr>
      </w:pPr>
      <w:r>
        <w:rPr>
          <w:rFonts w:cs="Times New Roman"/>
          <w:lang w:val="en-GB"/>
        </w:rPr>
        <w:t>Parties agree to amend the Agreement to insert the following paragraphs in the Schedule to the Agreement:</w:t>
      </w:r>
    </w:p>
    <w:p w14:paraId="3DC3A721" w14:textId="77777777" w:rsidR="008F21FD" w:rsidRDefault="00950733">
      <w:pPr>
        <w:pStyle w:val="FBFL1"/>
        <w:tabs>
          <w:tab w:val="clear" w:pos="1134"/>
          <w:tab w:val="num" w:pos="1560"/>
        </w:tabs>
        <w:ind w:left="1418" w:hanging="709"/>
      </w:pPr>
      <w:r>
        <w:t>ISDA BENCHMARKS SUPPLEMENT</w:t>
      </w:r>
    </w:p>
    <w:p w14:paraId="15EF8511" w14:textId="77777777" w:rsidR="008F21FD" w:rsidRDefault="00950733">
      <w:pPr>
        <w:pStyle w:val="FBFCont1"/>
        <w:tabs>
          <w:tab w:val="num" w:pos="1560"/>
        </w:tabs>
        <w:ind w:left="1418"/>
      </w:pPr>
      <w:r>
        <w:t>The 2018 ISDA Benchmarks Supplement published by ISDA, as amended from time to time, (the "</w:t>
      </w:r>
      <w:r>
        <w:rPr>
          <w:b/>
        </w:rPr>
        <w:t>ISDA Benchmarks Supplement</w:t>
      </w:r>
      <w:r>
        <w:t>") is hereby incorporated by reference in, and shall form part of, the [Agreement/Confirmation]</w:t>
      </w:r>
      <w:r>
        <w:rPr>
          <w:rStyle w:val="Appelnotedebasdep"/>
        </w:rPr>
        <w:footnoteReference w:id="2"/>
      </w:r>
      <w:r>
        <w:t>, subject to the amendments specified below.</w:t>
      </w:r>
    </w:p>
    <w:p w14:paraId="20D09C1E" w14:textId="77777777" w:rsidR="008F21FD" w:rsidRDefault="00950733">
      <w:pPr>
        <w:pStyle w:val="Corpsdetexte"/>
        <w:tabs>
          <w:tab w:val="num" w:pos="1560"/>
        </w:tabs>
        <w:ind w:left="1418"/>
        <w:jc w:val="both"/>
      </w:pPr>
      <w:r>
        <w:t>If [, in respect of one or more Transaction(s),]</w:t>
      </w:r>
      <w:r>
        <w:rPr>
          <w:rStyle w:val="Appelnotedebasdep"/>
        </w:rPr>
        <w:footnoteReference w:id="3"/>
      </w:r>
      <w:r>
        <w:t>/[in the Confirmation,]</w:t>
      </w:r>
      <w:r>
        <w:rPr>
          <w:rStyle w:val="Appelnotedebasdep"/>
        </w:rPr>
        <w:footnoteReference w:id="4"/>
      </w:r>
      <w:r>
        <w:t xml:space="preserve"> the Parties have incorporated the 2006 ISDA Definitions, the 2002 Equity Definitions, the 1998 FX Definitions and/or the 2005 ISDA Commodity Definitions (together, the "</w:t>
      </w:r>
      <w:r>
        <w:rPr>
          <w:b/>
        </w:rPr>
        <w:t>ISDA Definitions</w:t>
      </w:r>
      <w:r>
        <w:t>"), as amended or supplemented from time to time, the provisions of this Article [X] shall apply for the purposes of the relevant Transaction(s) or, if applicable, the part of the Transaction to which the relevant ISDA Definitions apply.</w:t>
      </w:r>
    </w:p>
    <w:p w14:paraId="7E01F48D" w14:textId="77777777" w:rsidR="008F21FD" w:rsidRDefault="00950733">
      <w:pPr>
        <w:pStyle w:val="Corpsdetexte"/>
        <w:tabs>
          <w:tab w:val="num" w:pos="1560"/>
        </w:tabs>
        <w:ind w:left="1418"/>
        <w:jc w:val="both"/>
      </w:pPr>
      <w:r>
        <w:t>[If the Parties have adhered to the ISDA 2018 Benchmarks Supplement Protocol (the "</w:t>
      </w:r>
      <w:r>
        <w:rPr>
          <w:b/>
        </w:rPr>
        <w:t>Protocol</w:t>
      </w:r>
      <w:r>
        <w:t>") and have exchanged questionnaires to the effect of incorporating the ISDA Benchmarks Supplement in one or more Confirmations, notwithstanding anything to the contrary in the Protocol, the Protocol shall not apply to the relevant Transaction(s) and the provisions of this Article [X] shall prevail for the said Transaction.]</w:t>
      </w:r>
    </w:p>
    <w:p w14:paraId="2C0FB445" w14:textId="77777777" w:rsidR="008F21FD" w:rsidRDefault="00950733">
      <w:pPr>
        <w:pStyle w:val="Corpsdetexte"/>
        <w:tabs>
          <w:tab w:val="num" w:pos="1560"/>
        </w:tabs>
        <w:ind w:left="1418"/>
        <w:jc w:val="both"/>
      </w:pPr>
      <w:r>
        <w:t>Each Party represents and warrants to the other Party that (</w:t>
      </w:r>
      <w:proofErr w:type="spellStart"/>
      <w:r>
        <w:t>i</w:t>
      </w:r>
      <w:proofErr w:type="spellEnd"/>
      <w:r>
        <w:t>) it has received a copy of the ISDA Benchmarks Supplement, (ii) it has reviewed all the terms and conditions of the ISDA Benchmarks Supplement and (iii) it has conducted its own analysis, with its own advisors and counsels where applicable, of the legal, tax, accounting and regulatory consequences resulting from the incorporation by reference of the ISDA Benchmarks Supplement.</w:t>
      </w:r>
    </w:p>
    <w:p w14:paraId="71837608" w14:textId="77777777" w:rsidR="008F21FD" w:rsidRDefault="00950733">
      <w:pPr>
        <w:pStyle w:val="FBFCont1"/>
        <w:tabs>
          <w:tab w:val="num" w:pos="1560"/>
        </w:tabs>
        <w:ind w:left="1418"/>
      </w:pPr>
      <w:r>
        <w:lastRenderedPageBreak/>
        <w:t>Any capitalized term not defined in this Article [X] shall have the meaning given to them in the ISDA Benchmarks Supplement.</w:t>
      </w:r>
    </w:p>
    <w:p w14:paraId="5B540F3C" w14:textId="77777777" w:rsidR="008F21FD" w:rsidRDefault="00950733">
      <w:pPr>
        <w:pStyle w:val="FBFL2"/>
        <w:ind w:left="1418" w:hanging="709"/>
        <w:rPr>
          <w:b/>
          <w:bCs/>
        </w:rPr>
      </w:pPr>
      <w:r>
        <w:rPr>
          <w:b/>
          <w:bCs/>
        </w:rPr>
        <w:t>2006 Definitions Benchmarks Annex</w:t>
      </w:r>
    </w:p>
    <w:p w14:paraId="42D9543A" w14:textId="77777777" w:rsidR="008F21FD" w:rsidRDefault="00950733">
      <w:pPr>
        <w:pStyle w:val="FBFL3"/>
        <w:tabs>
          <w:tab w:val="clear" w:pos="1134"/>
          <w:tab w:val="num" w:pos="1418"/>
        </w:tabs>
        <w:ind w:left="1418" w:hanging="709"/>
      </w:pPr>
      <w:r>
        <w:t>Any references in the 2006 Definitions Benchmarks Annex to the 2006 ISDA Definitions shall be deemed to be references to the 2006 ISDA Definitions as amended and supplemented by the Parties, as the case may be.</w:t>
      </w:r>
    </w:p>
    <w:p w14:paraId="26811056" w14:textId="77777777" w:rsidR="008F21FD" w:rsidRDefault="00950733">
      <w:pPr>
        <w:pStyle w:val="FBFL3"/>
        <w:tabs>
          <w:tab w:val="clear" w:pos="1134"/>
          <w:tab w:val="num" w:pos="1418"/>
        </w:tabs>
        <w:ind w:left="1418" w:hanging="709"/>
      </w:pPr>
      <w:r>
        <w:t>Notwithstanding any contrary provisions of the 2006 Definitions Benchmarks Annex, the following terms and expressions, referred to in the 2006 Definitions Benchmarks Annex, shall respectively have the following meaning:</w:t>
      </w:r>
    </w:p>
    <w:p w14:paraId="405C6FDC" w14:textId="77777777" w:rsidR="008F21FD" w:rsidRDefault="00950733">
      <w:pPr>
        <w:pStyle w:val="FBFL4"/>
        <w:tabs>
          <w:tab w:val="clear" w:pos="1984"/>
          <w:tab w:val="num" w:pos="1701"/>
        </w:tabs>
        <w:ind w:left="1701" w:hanging="283"/>
      </w:pPr>
      <w:r>
        <w:t>"</w:t>
      </w:r>
      <w:r>
        <w:rPr>
          <w:b/>
          <w:bCs/>
        </w:rPr>
        <w:t>Affiliate</w:t>
      </w:r>
      <w:r>
        <w:t>" means in relation to any person, any entity controlled, directly or indirectly, by the person, any entity that controls, directly or indirectly, the person or any entity directly or indirectly under common control with the person. For this purpose, "control" of any entity or person means ownership of a majority of the voting power of the entity or person;</w:t>
      </w:r>
    </w:p>
    <w:p w14:paraId="353C22BD" w14:textId="77777777" w:rsidR="008F21FD" w:rsidRDefault="00950733">
      <w:pPr>
        <w:pStyle w:val="FBFL4"/>
        <w:tabs>
          <w:tab w:val="clear" w:pos="1984"/>
          <w:tab w:val="num" w:pos="1701"/>
        </w:tabs>
        <w:ind w:left="1701" w:hanging="283"/>
      </w:pPr>
      <w:r>
        <w:t>"</w:t>
      </w:r>
      <w:r>
        <w:rPr>
          <w:b/>
          <w:bCs/>
        </w:rPr>
        <w:t>Local Business Day</w:t>
      </w:r>
      <w:r>
        <w:t>" refers to "Business Day" within the meaning of the Agreement; and</w:t>
      </w:r>
    </w:p>
    <w:p w14:paraId="5F0D8200" w14:textId="77777777" w:rsidR="008F21FD" w:rsidRDefault="00950733">
      <w:pPr>
        <w:pStyle w:val="FBFL4"/>
        <w:tabs>
          <w:tab w:val="clear" w:pos="1984"/>
          <w:tab w:val="num" w:pos="1701"/>
        </w:tabs>
        <w:ind w:left="1701" w:hanging="283"/>
      </w:pPr>
      <w:r>
        <w:t>"</w:t>
      </w:r>
      <w:r>
        <w:rPr>
          <w:b/>
          <w:bCs/>
        </w:rPr>
        <w:t>party(</w:t>
      </w:r>
      <w:proofErr w:type="spellStart"/>
      <w:r>
        <w:rPr>
          <w:b/>
          <w:bCs/>
        </w:rPr>
        <w:t>ies</w:t>
      </w:r>
      <w:proofErr w:type="spellEnd"/>
      <w:r>
        <w:rPr>
          <w:b/>
          <w:bCs/>
        </w:rPr>
        <w:t>)</w:t>
      </w:r>
      <w:r>
        <w:t>" refers to "Party(</w:t>
      </w:r>
      <w:proofErr w:type="spellStart"/>
      <w:r>
        <w:t>ies</w:t>
      </w:r>
      <w:proofErr w:type="spellEnd"/>
      <w:r>
        <w:t xml:space="preserve">)" within the meaning of the Agreement. </w:t>
      </w:r>
    </w:p>
    <w:p w14:paraId="244135EF" w14:textId="77777777" w:rsidR="008F21FD" w:rsidRDefault="00950733">
      <w:pPr>
        <w:pStyle w:val="FBFL3"/>
        <w:tabs>
          <w:tab w:val="clear" w:pos="1134"/>
          <w:tab w:val="num" w:pos="1418"/>
        </w:tabs>
        <w:ind w:left="1418" w:hanging="709"/>
      </w:pPr>
      <w:r>
        <w:t>Section 1.5 (a) and (b) of the 2006 Definitions Benchmarks Annex are deleted and replaced by the following terms:</w:t>
      </w:r>
    </w:p>
    <w:p w14:paraId="74BED5EE" w14:textId="77777777" w:rsidR="008F21FD" w:rsidRDefault="00950733">
      <w:pPr>
        <w:pStyle w:val="FBFL3"/>
        <w:numPr>
          <w:ilvl w:val="0"/>
          <w:numId w:val="0"/>
        </w:numPr>
        <w:ind w:left="1418"/>
      </w:pPr>
      <w:r>
        <w:t>"the provisions of Section 7.2.2.1 (if the Agreement is in the form of a 2013 FBF Master Agreement or a 2007 FBF Master Agreement) or 7.2.2 (if the Agreement is in the form of a 2001 FBF Master Agreement or a 1995 AFB Master Agreement) of the Agreement shall apply as if (</w:t>
      </w:r>
      <w:proofErr w:type="spellStart"/>
      <w:r>
        <w:t>i</w:t>
      </w:r>
      <w:proofErr w:type="spellEnd"/>
      <w:r>
        <w:t xml:space="preserve">) an "illegality" Change of Circumstances mentioned in Article 7.2.1.1 of the Agreement had occurred and (ii) the period to find a mutually satisfactory solution for rendering the affected Transactions legal had expired and no mutually acceptable solution could be found." </w:t>
      </w:r>
    </w:p>
    <w:p w14:paraId="58220FEF" w14:textId="77777777" w:rsidR="008F21FD" w:rsidRDefault="00950733">
      <w:pPr>
        <w:pStyle w:val="FBFL3"/>
        <w:tabs>
          <w:tab w:val="clear" w:pos="1134"/>
          <w:tab w:val="num" w:pos="1418"/>
        </w:tabs>
        <w:ind w:left="1418" w:hanging="709"/>
      </w:pPr>
      <w:r>
        <w:t xml:space="preserve">References to "Potential Event of Default" in Section 3.1(c) of the 2006 Definitions Benchmarks Annex are deleted. </w:t>
      </w:r>
    </w:p>
    <w:p w14:paraId="2DCA230F" w14:textId="77777777" w:rsidR="008F21FD" w:rsidRDefault="00950733">
      <w:pPr>
        <w:pStyle w:val="FBFL3"/>
        <w:tabs>
          <w:tab w:val="clear" w:pos="1134"/>
          <w:tab w:val="num" w:pos="1418"/>
        </w:tabs>
        <w:ind w:left="1418" w:hanging="709"/>
      </w:pPr>
      <w:r>
        <w:t>Any reference in the 2006 Definitions Benchmarks Annex to the ISDA Master Agreement or the 2002 ISDA Master Agreement shall be deemed to refer to the Agreement and any reference to terms or provisions of the ISDA Master Agreement or the 2002 ISDA Master Agreement shall be deemed to refer to equivalent terms or provisions of the Agreement.</w:t>
      </w:r>
    </w:p>
    <w:p w14:paraId="3EAFCB1E" w14:textId="77777777" w:rsidR="008F21FD" w:rsidRDefault="00950733">
      <w:pPr>
        <w:pStyle w:val="FBFL2"/>
        <w:ind w:left="1418" w:hanging="709"/>
        <w:rPr>
          <w:b/>
          <w:bCs/>
        </w:rPr>
      </w:pPr>
      <w:r>
        <w:rPr>
          <w:b/>
          <w:bCs/>
        </w:rPr>
        <w:t>2002 Equity Definitions Benchmarks Annex</w:t>
      </w:r>
    </w:p>
    <w:p w14:paraId="7910217A" w14:textId="77777777" w:rsidR="008F21FD" w:rsidRDefault="00950733">
      <w:pPr>
        <w:pStyle w:val="FBFL3"/>
        <w:tabs>
          <w:tab w:val="clear" w:pos="1134"/>
          <w:tab w:val="num" w:pos="1418"/>
        </w:tabs>
        <w:ind w:left="1418" w:hanging="709"/>
      </w:pPr>
      <w:r>
        <w:t>Any reference in the 2002 Equity Definitions Benchmarks Annex to the 2002 Equity Definitions shall be deemed to be a reference to the 2002 Equity Definitions as amended and supplemented by the Parties, as the case may be.</w:t>
      </w:r>
    </w:p>
    <w:p w14:paraId="7AE12E84" w14:textId="77777777" w:rsidR="008F21FD" w:rsidRDefault="00950733">
      <w:pPr>
        <w:pStyle w:val="FBFL3"/>
        <w:tabs>
          <w:tab w:val="clear" w:pos="1134"/>
          <w:tab w:val="num" w:pos="1418"/>
        </w:tabs>
        <w:ind w:left="1418" w:hanging="709"/>
      </w:pPr>
      <w:r>
        <w:t>Notwithstanding any contrary provisions of the 2002 Equity Definitions Benchmarks Annex, the following terms and expressions, referred to in the 2002 Equity Definitions Benchmarks Annex, shall respectively have the following meaning:</w:t>
      </w:r>
    </w:p>
    <w:p w14:paraId="2BC27F0E" w14:textId="77777777" w:rsidR="008F21FD" w:rsidRDefault="00950733">
      <w:pPr>
        <w:pStyle w:val="FBFL4"/>
        <w:tabs>
          <w:tab w:val="clear" w:pos="1984"/>
          <w:tab w:val="num" w:pos="1701"/>
        </w:tabs>
        <w:ind w:left="1701" w:hanging="283"/>
      </w:pPr>
      <w:r>
        <w:lastRenderedPageBreak/>
        <w:t>"</w:t>
      </w:r>
      <w:r>
        <w:rPr>
          <w:b/>
        </w:rPr>
        <w:t>Local Business Day</w:t>
      </w:r>
      <w:r>
        <w:t>" refers to "Business Day" within the meaning of the Agreement; and</w:t>
      </w:r>
    </w:p>
    <w:p w14:paraId="5F9114B9" w14:textId="77777777" w:rsidR="008F21FD" w:rsidRDefault="00950733">
      <w:pPr>
        <w:pStyle w:val="FBFL4"/>
        <w:tabs>
          <w:tab w:val="clear" w:pos="1984"/>
          <w:tab w:val="num" w:pos="1701"/>
        </w:tabs>
        <w:ind w:left="1701" w:hanging="283"/>
      </w:pPr>
      <w:r>
        <w:t>"</w:t>
      </w:r>
      <w:r>
        <w:rPr>
          <w:b/>
        </w:rPr>
        <w:t>party(</w:t>
      </w:r>
      <w:proofErr w:type="spellStart"/>
      <w:r>
        <w:rPr>
          <w:b/>
        </w:rPr>
        <w:t>ies</w:t>
      </w:r>
      <w:proofErr w:type="spellEnd"/>
      <w:r>
        <w:rPr>
          <w:b/>
        </w:rPr>
        <w:t>)</w:t>
      </w:r>
      <w:r>
        <w:t>" refers to "Party(</w:t>
      </w:r>
      <w:proofErr w:type="spellStart"/>
      <w:r>
        <w:t>ies</w:t>
      </w:r>
      <w:proofErr w:type="spellEnd"/>
      <w:r>
        <w:t xml:space="preserve">)" within the meaning of the Agreement. </w:t>
      </w:r>
    </w:p>
    <w:p w14:paraId="5BD4F8D6" w14:textId="77777777" w:rsidR="008F21FD" w:rsidRDefault="00950733">
      <w:pPr>
        <w:pStyle w:val="FBFL3"/>
        <w:tabs>
          <w:tab w:val="clear" w:pos="1134"/>
          <w:tab w:val="num" w:pos="1418"/>
        </w:tabs>
        <w:ind w:left="1418" w:hanging="709"/>
      </w:pPr>
      <w:r>
        <w:t>Any reference in the 2002 Equity Definitions Benchmarks Annex to the ISDA Master Agreement or the 2002 ISDA Master Agreement shall be deemed to refer to the Agreement and any reference to terms or provisions of the ISDA Master Agreement or the 2002 ISDA Master Agreement shall be deemed to refer to equivalent terms or provisions of the Agreement.</w:t>
      </w:r>
    </w:p>
    <w:p w14:paraId="145B1EB5" w14:textId="77777777" w:rsidR="008F21FD" w:rsidRDefault="00950733">
      <w:pPr>
        <w:pStyle w:val="FBFL2"/>
        <w:ind w:left="1418" w:hanging="709"/>
        <w:rPr>
          <w:b/>
          <w:bCs/>
        </w:rPr>
      </w:pPr>
      <w:r>
        <w:rPr>
          <w:b/>
          <w:bCs/>
        </w:rPr>
        <w:t xml:space="preserve">1998 FX Definitions Benchmarks Annex </w:t>
      </w:r>
    </w:p>
    <w:p w14:paraId="06B5CDFD" w14:textId="77777777" w:rsidR="008F21FD" w:rsidRDefault="00950733">
      <w:pPr>
        <w:pStyle w:val="FBFL3"/>
        <w:tabs>
          <w:tab w:val="clear" w:pos="1134"/>
          <w:tab w:val="num" w:pos="1418"/>
        </w:tabs>
        <w:ind w:left="1418" w:hanging="709"/>
      </w:pPr>
      <w:r>
        <w:t>Any reference in the 1998 FX Definitions Benchmarks Annex to the 1998 FX Definitions shall be deemed to be a reference to the 1998 FX Definitions as amended and supplemented by the Parties, as the case may be.</w:t>
      </w:r>
    </w:p>
    <w:p w14:paraId="07AC1A49" w14:textId="77777777" w:rsidR="008F21FD" w:rsidRDefault="00950733">
      <w:pPr>
        <w:pStyle w:val="FBFL3"/>
        <w:tabs>
          <w:tab w:val="clear" w:pos="1134"/>
          <w:tab w:val="num" w:pos="1418"/>
        </w:tabs>
        <w:ind w:left="1418" w:hanging="709"/>
      </w:pPr>
      <w:r>
        <w:t>Notwithstanding any contrary provisions of the 1998 FX Definitions Benchmarks Annex, the following terms and expressions, referred to in the 1998 FX Definitions Benchmarks Annex, shall respectively have the following meaning:</w:t>
      </w:r>
    </w:p>
    <w:p w14:paraId="70791EE9" w14:textId="77777777" w:rsidR="008F21FD" w:rsidRDefault="00950733">
      <w:pPr>
        <w:pStyle w:val="FBFL4"/>
        <w:tabs>
          <w:tab w:val="clear" w:pos="1984"/>
          <w:tab w:val="num" w:pos="1701"/>
        </w:tabs>
        <w:ind w:left="1701" w:hanging="283"/>
      </w:pPr>
      <w:r>
        <w:t>"</w:t>
      </w:r>
      <w:r>
        <w:rPr>
          <w:b/>
        </w:rPr>
        <w:t xml:space="preserve">Local </w:t>
      </w:r>
      <w:r>
        <w:rPr>
          <w:b/>
          <w:bCs/>
        </w:rPr>
        <w:t>Business</w:t>
      </w:r>
      <w:r>
        <w:rPr>
          <w:b/>
        </w:rPr>
        <w:t xml:space="preserve"> Day</w:t>
      </w:r>
      <w:r>
        <w:t>" refers to "Business Day" within the meaning of the Agreement; and</w:t>
      </w:r>
    </w:p>
    <w:p w14:paraId="71A3B9EB" w14:textId="77777777" w:rsidR="008F21FD" w:rsidRDefault="00950733">
      <w:pPr>
        <w:pStyle w:val="FBFL4"/>
        <w:tabs>
          <w:tab w:val="clear" w:pos="1984"/>
          <w:tab w:val="num" w:pos="1701"/>
        </w:tabs>
        <w:ind w:left="1701" w:hanging="283"/>
      </w:pPr>
      <w:r>
        <w:t>"</w:t>
      </w:r>
      <w:r>
        <w:rPr>
          <w:b/>
          <w:bCs/>
        </w:rPr>
        <w:t>party</w:t>
      </w:r>
      <w:r>
        <w:rPr>
          <w:b/>
        </w:rPr>
        <w:t>(</w:t>
      </w:r>
      <w:proofErr w:type="spellStart"/>
      <w:r>
        <w:rPr>
          <w:b/>
        </w:rPr>
        <w:t>ies</w:t>
      </w:r>
      <w:proofErr w:type="spellEnd"/>
      <w:r>
        <w:rPr>
          <w:b/>
        </w:rPr>
        <w:t>)</w:t>
      </w:r>
      <w:r>
        <w:t>" refers to "Party(</w:t>
      </w:r>
      <w:proofErr w:type="spellStart"/>
      <w:r>
        <w:t>ies</w:t>
      </w:r>
      <w:proofErr w:type="spellEnd"/>
      <w:r>
        <w:t xml:space="preserve">)" within the meaning of the Agreement. </w:t>
      </w:r>
    </w:p>
    <w:p w14:paraId="31204E27" w14:textId="77777777" w:rsidR="008F21FD" w:rsidRDefault="00950733">
      <w:pPr>
        <w:pStyle w:val="FBFL3"/>
        <w:tabs>
          <w:tab w:val="clear" w:pos="1134"/>
          <w:tab w:val="num" w:pos="1418"/>
        </w:tabs>
        <w:ind w:left="1418" w:hanging="709"/>
      </w:pPr>
      <w:r>
        <w:t xml:space="preserve">Any reference in the 1998 FX Definitions Benchmarks Annex to the ISDA Master Agreement or the 2002 ISDA Master Agreement shall be deemed to refer to the Agreement and any reference to terms or provisions of the ISDA Master Agreement or the 2002 ISDA Master Agreement shall be deemed to refer to equivalent terms or provisions of the Agreement. </w:t>
      </w:r>
    </w:p>
    <w:p w14:paraId="3F6309A8" w14:textId="77777777" w:rsidR="008F21FD" w:rsidRDefault="00950733">
      <w:pPr>
        <w:pStyle w:val="FBFL2"/>
        <w:ind w:left="1418" w:hanging="709"/>
        <w:rPr>
          <w:b/>
          <w:bCs/>
        </w:rPr>
      </w:pPr>
      <w:r>
        <w:rPr>
          <w:b/>
          <w:bCs/>
        </w:rPr>
        <w:t>2005 Commodity Definitions Benchmarks Annex</w:t>
      </w:r>
    </w:p>
    <w:p w14:paraId="5576438D" w14:textId="77777777" w:rsidR="008F21FD" w:rsidRDefault="00950733">
      <w:pPr>
        <w:pStyle w:val="FBFL3"/>
        <w:tabs>
          <w:tab w:val="clear" w:pos="1134"/>
          <w:tab w:val="num" w:pos="1418"/>
        </w:tabs>
        <w:ind w:left="1418" w:hanging="709"/>
      </w:pPr>
      <w:r>
        <w:t>Any reference in the 2005 Commodity Definitions Benchmarks Annex to the 2005 ISDA Commodity Definitions shall be deemed to be a reference to the 2005 ISDA Commodity Definitions as amended and supplemented by the Parties, as the case may be.</w:t>
      </w:r>
    </w:p>
    <w:p w14:paraId="350A6A0A" w14:textId="77777777" w:rsidR="008F21FD" w:rsidRDefault="00950733">
      <w:pPr>
        <w:pStyle w:val="FBFL3"/>
        <w:tabs>
          <w:tab w:val="clear" w:pos="1134"/>
          <w:tab w:val="num" w:pos="1418"/>
        </w:tabs>
        <w:ind w:left="1418" w:hanging="709"/>
      </w:pPr>
      <w:r>
        <w:t>Notwithstanding any contrary provisions of the 2005 Commodity Definitions Benchmarks Annex, the following terms and expressions, referred to in the 2002 Equity Definitions Benchmarks Annex, shall respectively have the following meaning:</w:t>
      </w:r>
    </w:p>
    <w:p w14:paraId="6B92D819" w14:textId="77777777" w:rsidR="008F21FD" w:rsidRDefault="00950733">
      <w:pPr>
        <w:pStyle w:val="FBFL4"/>
        <w:tabs>
          <w:tab w:val="clear" w:pos="1984"/>
          <w:tab w:val="num" w:pos="1701"/>
        </w:tabs>
        <w:ind w:left="1701" w:hanging="283"/>
      </w:pPr>
      <w:r>
        <w:t>"</w:t>
      </w:r>
      <w:r>
        <w:rPr>
          <w:b/>
        </w:rPr>
        <w:t xml:space="preserve">Local </w:t>
      </w:r>
      <w:r>
        <w:rPr>
          <w:b/>
          <w:bCs/>
        </w:rPr>
        <w:t>Business</w:t>
      </w:r>
      <w:r>
        <w:rPr>
          <w:b/>
        </w:rPr>
        <w:t xml:space="preserve"> Day</w:t>
      </w:r>
      <w:r>
        <w:t>" refers to "Business Day" within the meaning of the Agreement; and</w:t>
      </w:r>
    </w:p>
    <w:p w14:paraId="7B792872" w14:textId="77777777" w:rsidR="008F21FD" w:rsidRDefault="00950733">
      <w:pPr>
        <w:pStyle w:val="FBFL4"/>
        <w:tabs>
          <w:tab w:val="clear" w:pos="1984"/>
          <w:tab w:val="num" w:pos="1701"/>
        </w:tabs>
        <w:ind w:left="1701" w:hanging="283"/>
      </w:pPr>
      <w:r>
        <w:t>"</w:t>
      </w:r>
      <w:r>
        <w:rPr>
          <w:b/>
        </w:rPr>
        <w:t>party(</w:t>
      </w:r>
      <w:proofErr w:type="spellStart"/>
      <w:r>
        <w:rPr>
          <w:b/>
        </w:rPr>
        <w:t>ies</w:t>
      </w:r>
      <w:proofErr w:type="spellEnd"/>
      <w:r>
        <w:rPr>
          <w:b/>
        </w:rPr>
        <w:t>)</w:t>
      </w:r>
      <w:r>
        <w:t>" refers to "Party(</w:t>
      </w:r>
      <w:proofErr w:type="spellStart"/>
      <w:r>
        <w:t>ies</w:t>
      </w:r>
      <w:proofErr w:type="spellEnd"/>
      <w:r>
        <w:t xml:space="preserve">)" within the meaning of the Agreement. </w:t>
      </w:r>
    </w:p>
    <w:p w14:paraId="721196DF" w14:textId="77777777" w:rsidR="008F21FD" w:rsidRDefault="00950733">
      <w:pPr>
        <w:pStyle w:val="FBFL3"/>
        <w:tabs>
          <w:tab w:val="clear" w:pos="1134"/>
          <w:tab w:val="num" w:pos="1418"/>
        </w:tabs>
        <w:ind w:left="1418" w:hanging="709"/>
      </w:pPr>
      <w:r>
        <w:t>Any reference in the 2005 Commodity Definitions Benchmarks Annex to the ISDA Master Agreement or the 2002 ISDA Master Agreement shall be deemed to refer to the Agreement and any reference to terms or provisions of the ISDA Master Agreement or the 2002 ISDA Master Agreement shall be deemed to refer to equivalent terms or provisions of the Agreement."</w:t>
      </w:r>
    </w:p>
    <w:p w14:paraId="27D5D3C9" w14:textId="77777777" w:rsidR="008F21FD" w:rsidRDefault="00950733">
      <w:pPr>
        <w:keepNext/>
        <w:jc w:val="both"/>
        <w:rPr>
          <w:rFonts w:cs="Times New Roman"/>
          <w:b/>
          <w:bCs/>
          <w:caps/>
          <w:lang w:val="en-GB"/>
        </w:rPr>
      </w:pPr>
      <w:r>
        <w:rPr>
          <w:rFonts w:cs="Times New Roman"/>
          <w:b/>
          <w:bCs/>
          <w:caps/>
          <w:lang w:val="en-GB"/>
        </w:rPr>
        <w:lastRenderedPageBreak/>
        <w:t>2.</w:t>
      </w:r>
      <w:r>
        <w:rPr>
          <w:rFonts w:cs="Times New Roman"/>
          <w:b/>
          <w:bCs/>
          <w:caps/>
          <w:lang w:val="en-GB"/>
        </w:rPr>
        <w:tab/>
        <w:t>Continuity</w:t>
      </w:r>
    </w:p>
    <w:p w14:paraId="512A99B7" w14:textId="77777777" w:rsidR="008F21FD" w:rsidRDefault="00950733">
      <w:pPr>
        <w:ind w:left="720"/>
        <w:jc w:val="both"/>
        <w:rPr>
          <w:rFonts w:cs="Times New Roman"/>
          <w:lang w:val="en-GB"/>
        </w:rPr>
      </w:pPr>
      <w:r>
        <w:rPr>
          <w:rFonts w:cs="Times New Roman"/>
          <w:lang w:val="en-GB"/>
        </w:rPr>
        <w:t>For the avoidance of doubt, the Parties agree that no other provision of the Agreement, nor any right or obligation of the Parties under the Agreement or any Transaction other than those expressly referred to in this Amendment Agreement, is modified, altered or diminished in any way by the terms hereof.</w:t>
      </w:r>
    </w:p>
    <w:p w14:paraId="6A57D732" w14:textId="77777777" w:rsidR="008F21FD" w:rsidRDefault="00950733">
      <w:pPr>
        <w:keepNext/>
        <w:keepLines/>
        <w:jc w:val="both"/>
        <w:rPr>
          <w:rFonts w:cs="Times New Roman"/>
          <w:b/>
          <w:bCs/>
          <w:caps/>
          <w:lang w:val="en-GB"/>
        </w:rPr>
      </w:pPr>
      <w:r>
        <w:rPr>
          <w:rFonts w:cs="Times New Roman"/>
          <w:b/>
          <w:bCs/>
          <w:caps/>
          <w:lang w:val="en-GB"/>
        </w:rPr>
        <w:t>3.</w:t>
      </w:r>
      <w:r>
        <w:rPr>
          <w:rFonts w:cs="Times New Roman"/>
          <w:b/>
          <w:bCs/>
          <w:caps/>
          <w:lang w:val="en-GB"/>
        </w:rPr>
        <w:tab/>
        <w:t>Representations and undertakings</w:t>
      </w:r>
    </w:p>
    <w:p w14:paraId="46E79193" w14:textId="77777777" w:rsidR="008F21FD" w:rsidRDefault="00950733">
      <w:pPr>
        <w:keepNext/>
        <w:keepLines/>
        <w:ind w:left="720"/>
        <w:jc w:val="both"/>
        <w:rPr>
          <w:rFonts w:cs="Times New Roman"/>
          <w:lang w:val="en-GB"/>
        </w:rPr>
      </w:pPr>
      <w:r>
        <w:rPr>
          <w:rFonts w:cs="Times New Roman"/>
          <w:lang w:val="en-GB"/>
        </w:rPr>
        <w:t>The Parties hereby repeat and confirm all representations and undertakings made under Article [6]/[6.1]</w:t>
      </w:r>
      <w:r>
        <w:rPr>
          <w:rStyle w:val="Appelnotedebasdep"/>
          <w:rFonts w:cs="Times New Roman"/>
          <w:lang w:val="en-GB"/>
        </w:rPr>
        <w:footnoteReference w:id="5"/>
      </w:r>
      <w:r>
        <w:rPr>
          <w:rFonts w:cs="Times New Roman"/>
          <w:lang w:val="en-GB"/>
        </w:rPr>
        <w:t xml:space="preserve"> of the Agreement as of the date hereof. Any reference to "the Agreement" shall be read as a reference to "the Amendment Agreement" for the purposes of this Article 3.</w:t>
      </w:r>
    </w:p>
    <w:p w14:paraId="3CC88A45" w14:textId="77777777" w:rsidR="008F21FD" w:rsidRDefault="00950733">
      <w:pPr>
        <w:jc w:val="both"/>
        <w:rPr>
          <w:rFonts w:cs="Times New Roman"/>
          <w:b/>
          <w:bCs/>
          <w:caps/>
          <w:lang w:val="en-GB"/>
        </w:rPr>
      </w:pPr>
      <w:r>
        <w:rPr>
          <w:rFonts w:cs="Times New Roman"/>
          <w:b/>
          <w:bCs/>
          <w:caps/>
          <w:lang w:val="en-GB"/>
        </w:rPr>
        <w:t>4.</w:t>
      </w:r>
      <w:r>
        <w:rPr>
          <w:rFonts w:cs="Times New Roman"/>
          <w:b/>
          <w:bCs/>
          <w:caps/>
          <w:lang w:val="en-GB"/>
        </w:rPr>
        <w:tab/>
        <w:t>Miscellaneous</w:t>
      </w:r>
    </w:p>
    <w:p w14:paraId="746D590C" w14:textId="77777777" w:rsidR="008F21FD" w:rsidRDefault="00950733">
      <w:pPr>
        <w:ind w:left="709" w:hanging="709"/>
        <w:jc w:val="both"/>
        <w:rPr>
          <w:rFonts w:cs="Times New Roman"/>
          <w:lang w:val="en-GB"/>
        </w:rPr>
      </w:pPr>
      <w:r>
        <w:rPr>
          <w:rFonts w:cs="Times New Roman"/>
          <w:b/>
          <w:bCs/>
          <w:lang w:val="en-GB"/>
        </w:rPr>
        <w:t>4.1</w:t>
      </w:r>
      <w:r>
        <w:rPr>
          <w:rFonts w:cs="Times New Roman"/>
          <w:b/>
          <w:bCs/>
          <w:lang w:val="en-GB"/>
        </w:rPr>
        <w:tab/>
        <w:t>Definitions</w:t>
      </w:r>
      <w:r>
        <w:rPr>
          <w:rFonts w:cs="Times New Roman"/>
          <w:lang w:val="en-GB"/>
        </w:rPr>
        <w:t>. Any reference to the Agreement shall, as from the date hereof, be deemed to be a reference to the Agreement as amended by this Amendment Agreement.</w:t>
      </w:r>
    </w:p>
    <w:p w14:paraId="21FE155A" w14:textId="77777777" w:rsidR="008F21FD" w:rsidRDefault="00950733">
      <w:pPr>
        <w:ind w:left="709" w:hanging="709"/>
        <w:jc w:val="both"/>
        <w:rPr>
          <w:rFonts w:cs="Times New Roman"/>
          <w:lang w:val="en-GB"/>
        </w:rPr>
      </w:pPr>
      <w:r>
        <w:rPr>
          <w:rFonts w:cs="Times New Roman"/>
          <w:b/>
          <w:bCs/>
          <w:lang w:val="en-GB"/>
        </w:rPr>
        <w:t>4.2</w:t>
      </w:r>
      <w:r>
        <w:rPr>
          <w:rFonts w:cs="Times New Roman"/>
          <w:b/>
          <w:bCs/>
          <w:lang w:val="en-GB"/>
        </w:rPr>
        <w:tab/>
        <w:t>Interpretation</w:t>
      </w:r>
      <w:r>
        <w:rPr>
          <w:rFonts w:cs="Times New Roman"/>
          <w:lang w:val="en-GB"/>
        </w:rPr>
        <w:t>. This Amendment Agreement supplements, forms part of, and is subject to, the provisions of the Agreement. In the event of any inconsistency between these provisions and the provisions of the Agreement, the provisions of this Amendment Agreement shall prevail for the sole matters dealt with herein.</w:t>
      </w:r>
    </w:p>
    <w:p w14:paraId="2B85D811" w14:textId="77777777" w:rsidR="008F21FD" w:rsidRDefault="00950733">
      <w:pPr>
        <w:ind w:left="709" w:hanging="709"/>
        <w:jc w:val="both"/>
        <w:rPr>
          <w:rFonts w:cs="Times New Roman"/>
          <w:lang w:val="en-GB"/>
        </w:rPr>
      </w:pPr>
      <w:r>
        <w:rPr>
          <w:rFonts w:cs="Times New Roman"/>
          <w:b/>
          <w:lang w:val="en-GB"/>
        </w:rPr>
        <w:t>4.3</w:t>
      </w:r>
      <w:r>
        <w:rPr>
          <w:rFonts w:cs="Times New Roman"/>
          <w:b/>
          <w:lang w:val="en-GB"/>
        </w:rPr>
        <w:tab/>
        <w:t>Absence of novation</w:t>
      </w:r>
      <w:r>
        <w:rPr>
          <w:rFonts w:cs="Times New Roman"/>
          <w:lang w:val="en-GB"/>
        </w:rPr>
        <w:t>. For the avoidance of doubt, it is specified that this Amendment Agreement does not in any way constitute a novation of the Agreement or of the Transactions governed by the Agreement.</w:t>
      </w:r>
    </w:p>
    <w:p w14:paraId="48BECAC2" w14:textId="77777777" w:rsidR="008F21FD" w:rsidRDefault="00950733">
      <w:pPr>
        <w:ind w:left="709" w:hanging="709"/>
        <w:jc w:val="both"/>
        <w:rPr>
          <w:rFonts w:cs="Times New Roman"/>
          <w:lang w:val="en-GB"/>
        </w:rPr>
      </w:pPr>
      <w:r>
        <w:rPr>
          <w:rFonts w:cs="Times New Roman"/>
          <w:b/>
          <w:bCs/>
          <w:lang w:val="en-GB"/>
        </w:rPr>
        <w:t>4.4</w:t>
      </w:r>
      <w:r>
        <w:rPr>
          <w:rFonts w:cs="Times New Roman"/>
          <w:b/>
          <w:bCs/>
          <w:lang w:val="en-GB"/>
        </w:rPr>
        <w:tab/>
        <w:t>Governing Law</w:t>
      </w:r>
      <w:r>
        <w:rPr>
          <w:rFonts w:cs="Times New Roman"/>
          <w:bCs/>
          <w:lang w:val="en-GB"/>
        </w:rPr>
        <w:t>.</w:t>
      </w:r>
      <w:r>
        <w:rPr>
          <w:rFonts w:cs="Times New Roman"/>
          <w:b/>
          <w:bCs/>
          <w:lang w:val="en-GB"/>
        </w:rPr>
        <w:t xml:space="preserve"> </w:t>
      </w:r>
      <w:r>
        <w:rPr>
          <w:rFonts w:cs="Times New Roman"/>
          <w:lang w:val="en-GB"/>
        </w:rPr>
        <w:t>This Amendment Agreement is governed by French law, it being specified that amendments to the relevant ISDA Definitions shall be governed by and construed in accordance with the law specified to govern that [ISDA Definitions]/[relevant Transaction]</w:t>
      </w:r>
      <w:r>
        <w:rPr>
          <w:rStyle w:val="Appelnotedebasdep"/>
          <w:rFonts w:cs="Times New Roman"/>
          <w:lang w:val="en-GB"/>
        </w:rPr>
        <w:footnoteReference w:id="6"/>
      </w:r>
      <w:r>
        <w:rPr>
          <w:rFonts w:cs="Times New Roman"/>
          <w:lang w:val="en-GB"/>
        </w:rPr>
        <w:t xml:space="preserve">. </w:t>
      </w:r>
    </w:p>
    <w:p w14:paraId="5A75525C" w14:textId="77777777" w:rsidR="008F21FD" w:rsidRDefault="00950733">
      <w:pPr>
        <w:ind w:left="709" w:hanging="709"/>
        <w:jc w:val="both"/>
        <w:rPr>
          <w:rFonts w:cs="Times New Roman"/>
          <w:lang w:val="en-GB"/>
        </w:rPr>
      </w:pPr>
      <w:r>
        <w:rPr>
          <w:rFonts w:cs="Times New Roman"/>
          <w:b/>
          <w:lang w:val="en-GB"/>
        </w:rPr>
        <w:t>4.5</w:t>
      </w:r>
      <w:r>
        <w:rPr>
          <w:rFonts w:cs="Times New Roman"/>
          <w:b/>
          <w:lang w:val="en-GB"/>
        </w:rPr>
        <w:tab/>
      </w:r>
      <w:r>
        <w:rPr>
          <w:rFonts w:cs="Times New Roman"/>
          <w:b/>
          <w:bCs/>
          <w:lang w:val="en-GB"/>
        </w:rPr>
        <w:t>Jurisdiction</w:t>
      </w:r>
      <w:r>
        <w:rPr>
          <w:rFonts w:cs="Times New Roman"/>
          <w:lang w:val="en-GB"/>
        </w:rPr>
        <w:t>. Any dispute relating to, without limitation, the validity, interpretation or performance of this Amendment Agreement shall be subject to the jurisdiction of the courts designated in Article 14 of the Agreement.</w:t>
      </w:r>
    </w:p>
    <w:p w14:paraId="61E5841D" w14:textId="77777777" w:rsidR="008F21FD" w:rsidRDefault="008F21FD">
      <w:pPr>
        <w:jc w:val="both"/>
        <w:rPr>
          <w:rFonts w:cs="Times New Roman"/>
          <w:lang w:val="en-GB"/>
        </w:rPr>
      </w:pPr>
    </w:p>
    <w:p w14:paraId="3D0A2D91" w14:textId="77777777" w:rsidR="008F21FD" w:rsidRDefault="00950733">
      <w:pPr>
        <w:keepNext/>
        <w:keepLines/>
        <w:spacing w:after="120"/>
        <w:jc w:val="both"/>
        <w:rPr>
          <w:rFonts w:cs="Times New Roman"/>
          <w:lang w:val="en-GB"/>
        </w:rPr>
      </w:pPr>
      <w:r>
        <w:rPr>
          <w:rFonts w:cs="Times New Roman"/>
          <w:lang w:val="en-GB"/>
        </w:rPr>
        <w:lastRenderedPageBreak/>
        <w:t xml:space="preserve">The Parties have executed this document in </w:t>
      </w:r>
      <w:r>
        <w:rPr>
          <w:rFonts w:cs="Times New Roman"/>
          <w:smallCaps/>
          <w:color w:val="000000"/>
          <w:lang w:val="en-GB"/>
        </w:rPr>
        <w:t>[</w:t>
      </w:r>
      <w:r>
        <w:rPr>
          <w:rFonts w:cs="Times New Roman"/>
          <w:smallCaps/>
          <w:color w:val="000000"/>
          <w:lang w:val="en-GB"/>
        </w:rPr>
        <w:sym w:font="Symbol" w:char="F0B7"/>
      </w:r>
      <w:r>
        <w:rPr>
          <w:rFonts w:cs="Times New Roman"/>
          <w:smallCaps/>
          <w:color w:val="000000"/>
          <w:lang w:val="en-GB"/>
        </w:rPr>
        <w:t>]</w:t>
      </w:r>
      <w:r>
        <w:rPr>
          <w:rFonts w:cs="Times New Roman"/>
          <w:lang w:val="en-GB"/>
        </w:rPr>
        <w:t xml:space="preserve">, on </w:t>
      </w:r>
      <w:r>
        <w:rPr>
          <w:rFonts w:cs="Times New Roman"/>
          <w:smallCaps/>
          <w:color w:val="000000"/>
          <w:lang w:val="en-GB"/>
        </w:rPr>
        <w:t>[</w:t>
      </w:r>
      <w:r>
        <w:rPr>
          <w:rFonts w:cs="Times New Roman"/>
          <w:smallCaps/>
          <w:color w:val="000000"/>
          <w:lang w:val="en-GB"/>
        </w:rPr>
        <w:sym w:font="Symbol" w:char="F0B7"/>
      </w:r>
      <w:r>
        <w:rPr>
          <w:rFonts w:cs="Times New Roman"/>
          <w:smallCaps/>
          <w:color w:val="000000"/>
          <w:lang w:val="en-GB"/>
        </w:rPr>
        <w:t>]</w:t>
      </w:r>
      <w:r>
        <w:rPr>
          <w:rFonts w:cs="Times New Roman"/>
          <w:lang w:val="en-GB"/>
        </w:rPr>
        <w:t>, in two (2) original copies.</w:t>
      </w:r>
    </w:p>
    <w:p w14:paraId="4A82F622" w14:textId="77777777" w:rsidR="008F21FD" w:rsidRDefault="008F21FD">
      <w:pPr>
        <w:keepNext/>
        <w:keepLines/>
        <w:spacing w:after="120"/>
        <w:jc w:val="both"/>
        <w:rPr>
          <w:rFonts w:cs="Times New Roman"/>
          <w:lang w:val="en-GB"/>
        </w:rPr>
      </w:pPr>
    </w:p>
    <w:tbl>
      <w:tblPr>
        <w:tblW w:w="9076" w:type="dxa"/>
        <w:tblLayout w:type="fixed"/>
        <w:tblCellMar>
          <w:left w:w="70" w:type="dxa"/>
          <w:right w:w="70" w:type="dxa"/>
        </w:tblCellMar>
        <w:tblLook w:val="0000" w:firstRow="0" w:lastRow="0" w:firstColumn="0" w:lastColumn="0" w:noHBand="0" w:noVBand="0"/>
      </w:tblPr>
      <w:tblGrid>
        <w:gridCol w:w="9076"/>
      </w:tblGrid>
      <w:tr w:rsidR="008F21FD" w14:paraId="1766255E" w14:textId="77777777">
        <w:tc>
          <w:tcPr>
            <w:tcW w:w="9076" w:type="dxa"/>
          </w:tcPr>
          <w:p w14:paraId="1D2943C1" w14:textId="77777777" w:rsidR="008F21FD" w:rsidRDefault="00950733">
            <w:pPr>
              <w:pStyle w:val="Titre1"/>
              <w:spacing w:line="240" w:lineRule="auto"/>
              <w:rPr>
                <w:rFonts w:cs="Times New Roman"/>
                <w:smallCaps/>
                <w:color w:val="000000"/>
                <w:szCs w:val="22"/>
                <w:lang w:val="en-GB"/>
              </w:rPr>
            </w:pPr>
            <w:r>
              <w:rPr>
                <w:rFonts w:cs="Times New Roman"/>
                <w:smallCaps/>
                <w:color w:val="000000"/>
                <w:szCs w:val="22"/>
                <w:lang w:val="en-GB"/>
              </w:rPr>
              <w:t>[</w:t>
            </w:r>
            <w:r>
              <w:rPr>
                <w:rFonts w:cs="Times New Roman"/>
                <w:smallCaps/>
                <w:color w:val="000000"/>
                <w:szCs w:val="22"/>
                <w:lang w:val="en-GB"/>
              </w:rPr>
              <w:sym w:font="Symbol" w:char="F0B7"/>
            </w:r>
            <w:r>
              <w:rPr>
                <w:rFonts w:cs="Times New Roman"/>
                <w:smallCaps/>
                <w:color w:val="000000"/>
                <w:szCs w:val="22"/>
                <w:lang w:val="en-GB"/>
              </w:rPr>
              <w:t>]</w:t>
            </w:r>
          </w:p>
          <w:p w14:paraId="53190EF1" w14:textId="77777777" w:rsidR="008F21FD" w:rsidRDefault="008F21FD">
            <w:pPr>
              <w:keepNext/>
              <w:keepLines/>
              <w:spacing w:after="0"/>
              <w:rPr>
                <w:rFonts w:cs="Times New Roman"/>
                <w:color w:val="000000"/>
                <w:lang w:val="en-GB"/>
              </w:rPr>
            </w:pPr>
          </w:p>
          <w:p w14:paraId="035F0680" w14:textId="77777777" w:rsidR="008F21FD" w:rsidRDefault="008F21FD">
            <w:pPr>
              <w:keepNext/>
              <w:keepLines/>
              <w:spacing w:after="0"/>
              <w:rPr>
                <w:rFonts w:cs="Times New Roman"/>
                <w:color w:val="000000"/>
                <w:lang w:val="en-GB"/>
              </w:rPr>
            </w:pPr>
          </w:p>
          <w:p w14:paraId="6F8912E5" w14:textId="77777777" w:rsidR="008F21FD" w:rsidRDefault="008F21FD">
            <w:pPr>
              <w:keepNext/>
              <w:keepLines/>
              <w:spacing w:after="0"/>
              <w:rPr>
                <w:rFonts w:cs="Times New Roman"/>
                <w:color w:val="000000"/>
                <w:lang w:val="en-GB"/>
              </w:rPr>
            </w:pPr>
          </w:p>
          <w:p w14:paraId="78A6D672" w14:textId="77777777" w:rsidR="008F21FD" w:rsidRDefault="008F21FD">
            <w:pPr>
              <w:keepNext/>
              <w:keepLines/>
              <w:spacing w:after="0"/>
              <w:rPr>
                <w:rFonts w:cs="Times New Roman"/>
                <w:color w:val="000000"/>
                <w:lang w:val="en-GB"/>
              </w:rPr>
            </w:pPr>
          </w:p>
          <w:p w14:paraId="337DCBFA" w14:textId="77777777" w:rsidR="008F21FD" w:rsidRDefault="00950733">
            <w:pPr>
              <w:keepNext/>
              <w:keepLines/>
              <w:tabs>
                <w:tab w:val="left" w:pos="4033"/>
              </w:tabs>
              <w:spacing w:after="0"/>
              <w:ind w:left="639" w:hanging="639"/>
              <w:jc w:val="both"/>
              <w:rPr>
                <w:rFonts w:cs="Times New Roman"/>
                <w:b/>
                <w:lang w:val="en-GB"/>
              </w:rPr>
            </w:pPr>
            <w:r>
              <w:rPr>
                <w:rFonts w:cs="Times New Roman"/>
                <w:lang w:val="en-GB"/>
              </w:rPr>
              <w:t>By:</w:t>
            </w:r>
            <w:r>
              <w:rPr>
                <w:rFonts w:cs="Times New Roman"/>
                <w:lang w:val="en-GB"/>
              </w:rPr>
              <w:tab/>
            </w:r>
          </w:p>
          <w:p w14:paraId="7C06F355" w14:textId="77777777" w:rsidR="008F21FD" w:rsidRDefault="00950733">
            <w:pPr>
              <w:keepNext/>
              <w:keepLines/>
              <w:spacing w:after="0"/>
              <w:ind w:left="639" w:hanging="639"/>
              <w:jc w:val="both"/>
              <w:rPr>
                <w:rFonts w:cs="Times New Roman"/>
                <w:lang w:val="en-GB"/>
              </w:rPr>
            </w:pPr>
            <w:r>
              <w:rPr>
                <w:rFonts w:cs="Times New Roman"/>
                <w:lang w:val="en-GB"/>
              </w:rPr>
              <w:tab/>
              <w:t>________________________                   _________________________</w:t>
            </w:r>
          </w:p>
          <w:p w14:paraId="31B208F4" w14:textId="77777777" w:rsidR="008F21FD" w:rsidRDefault="00950733">
            <w:pPr>
              <w:keepNext/>
              <w:keepLines/>
              <w:tabs>
                <w:tab w:val="left" w:pos="709"/>
                <w:tab w:val="left" w:pos="5245"/>
              </w:tabs>
              <w:spacing w:after="0"/>
              <w:ind w:left="639" w:hanging="639"/>
              <w:jc w:val="both"/>
              <w:rPr>
                <w:rFonts w:cs="Times New Roman"/>
                <w:lang w:val="en-GB"/>
              </w:rPr>
            </w:pPr>
            <w:r>
              <w:rPr>
                <w:rFonts w:cs="Times New Roman"/>
                <w:lang w:val="en-GB"/>
              </w:rPr>
              <w:tab/>
            </w:r>
          </w:p>
          <w:p w14:paraId="160E42E6" w14:textId="77777777" w:rsidR="008F21FD" w:rsidRDefault="008F21FD">
            <w:pPr>
              <w:keepNext/>
              <w:keepLines/>
              <w:spacing w:after="0"/>
              <w:ind w:left="639" w:hanging="639"/>
              <w:jc w:val="both"/>
              <w:rPr>
                <w:rFonts w:cs="Times New Roman"/>
                <w:lang w:val="en-GB"/>
              </w:rPr>
            </w:pPr>
          </w:p>
          <w:p w14:paraId="3C292541" w14:textId="77777777" w:rsidR="008F21FD" w:rsidRDefault="00950733">
            <w:pPr>
              <w:keepNext/>
              <w:keepLines/>
              <w:tabs>
                <w:tab w:val="left" w:pos="634"/>
              </w:tabs>
              <w:spacing w:after="0"/>
              <w:rPr>
                <w:rFonts w:cs="Times New Roman"/>
                <w:lang w:val="en-GB"/>
              </w:rPr>
            </w:pPr>
            <w:r>
              <w:rPr>
                <w:rFonts w:cs="Times New Roman"/>
                <w:lang w:val="en-GB"/>
              </w:rPr>
              <w:tab/>
              <w:t xml:space="preserve">Name : </w:t>
            </w:r>
            <w:r>
              <w:rPr>
                <w:rFonts w:cs="Times New Roman"/>
                <w:lang w:val="en-GB"/>
              </w:rPr>
              <w:tab/>
            </w:r>
            <w:r>
              <w:rPr>
                <w:rFonts w:cs="Times New Roman"/>
                <w:lang w:val="en-GB"/>
              </w:rPr>
              <w:tab/>
            </w:r>
            <w:r>
              <w:rPr>
                <w:rFonts w:cs="Times New Roman"/>
                <w:lang w:val="en-GB"/>
              </w:rPr>
              <w:tab/>
            </w:r>
            <w:r>
              <w:rPr>
                <w:rFonts w:cs="Times New Roman"/>
                <w:lang w:val="en-GB"/>
              </w:rPr>
              <w:tab/>
            </w:r>
            <w:r>
              <w:rPr>
                <w:rFonts w:cs="Times New Roman"/>
                <w:lang w:val="en-GB"/>
              </w:rPr>
              <w:tab/>
              <w:t>Name :</w:t>
            </w:r>
          </w:p>
          <w:p w14:paraId="11871531" w14:textId="77777777" w:rsidR="008F21FD" w:rsidRDefault="00950733">
            <w:pPr>
              <w:keepNext/>
              <w:keepLines/>
              <w:tabs>
                <w:tab w:val="left" w:pos="1490"/>
              </w:tabs>
              <w:spacing w:after="0"/>
              <w:ind w:left="640"/>
              <w:jc w:val="both"/>
              <w:rPr>
                <w:rFonts w:cs="Times New Roman"/>
                <w:color w:val="000000"/>
                <w:lang w:val="en-GB"/>
              </w:rPr>
            </w:pPr>
            <w:r>
              <w:rPr>
                <w:rFonts w:cs="Times New Roman"/>
                <w:color w:val="000000"/>
                <w:lang w:val="en-GB"/>
              </w:rPr>
              <w:t>Title :</w:t>
            </w:r>
            <w:r>
              <w:rPr>
                <w:rFonts w:cs="Times New Roman"/>
                <w:lang w:val="en-GB"/>
              </w:rPr>
              <w:t xml:space="preserve"> </w:t>
            </w:r>
            <w:r>
              <w:rPr>
                <w:rFonts w:cs="Times New Roman"/>
                <w:lang w:val="en-GB"/>
              </w:rPr>
              <w:tab/>
            </w:r>
            <w:r>
              <w:rPr>
                <w:rFonts w:cs="Times New Roman"/>
                <w:lang w:val="en-GB"/>
              </w:rPr>
              <w:tab/>
            </w:r>
            <w:r>
              <w:rPr>
                <w:rFonts w:cs="Times New Roman"/>
                <w:lang w:val="en-GB"/>
              </w:rPr>
              <w:tab/>
            </w:r>
            <w:r>
              <w:rPr>
                <w:rFonts w:cs="Times New Roman"/>
                <w:lang w:val="en-GB"/>
              </w:rPr>
              <w:tab/>
            </w:r>
            <w:r>
              <w:rPr>
                <w:rFonts w:cs="Times New Roman"/>
                <w:lang w:val="en-GB"/>
              </w:rPr>
              <w:tab/>
            </w:r>
            <w:r>
              <w:rPr>
                <w:rFonts w:cs="Times New Roman"/>
                <w:color w:val="000000"/>
                <w:lang w:val="en-GB"/>
              </w:rPr>
              <w:t>Title :</w:t>
            </w:r>
          </w:p>
          <w:p w14:paraId="0644C5D5" w14:textId="77777777" w:rsidR="008F21FD" w:rsidRDefault="008F21FD">
            <w:pPr>
              <w:keepNext/>
              <w:keepLines/>
              <w:tabs>
                <w:tab w:val="left" w:pos="634"/>
              </w:tabs>
              <w:spacing w:after="0"/>
              <w:rPr>
                <w:rFonts w:cs="Times New Roman"/>
                <w:color w:val="000000"/>
                <w:lang w:val="en-GB"/>
              </w:rPr>
            </w:pPr>
          </w:p>
        </w:tc>
      </w:tr>
      <w:tr w:rsidR="008F21FD" w14:paraId="0854667E" w14:textId="77777777">
        <w:tc>
          <w:tcPr>
            <w:tcW w:w="9076" w:type="dxa"/>
          </w:tcPr>
          <w:p w14:paraId="44B44856" w14:textId="77777777" w:rsidR="008F21FD" w:rsidRDefault="008F21FD">
            <w:pPr>
              <w:keepNext/>
              <w:spacing w:after="0"/>
              <w:ind w:left="-70"/>
              <w:jc w:val="both"/>
              <w:rPr>
                <w:rFonts w:cs="Times New Roman"/>
                <w:color w:val="000000"/>
                <w:lang w:val="en-GB"/>
              </w:rPr>
            </w:pPr>
          </w:p>
          <w:p w14:paraId="5347E621" w14:textId="77777777" w:rsidR="008F21FD" w:rsidRDefault="008F21FD">
            <w:pPr>
              <w:keepNext/>
              <w:spacing w:after="0"/>
              <w:ind w:left="-70"/>
              <w:jc w:val="both"/>
              <w:rPr>
                <w:rFonts w:cs="Times New Roman"/>
                <w:color w:val="000000"/>
                <w:lang w:val="en-GB"/>
              </w:rPr>
            </w:pPr>
          </w:p>
        </w:tc>
      </w:tr>
      <w:tr w:rsidR="008F21FD" w14:paraId="28C2B207" w14:textId="77777777">
        <w:tc>
          <w:tcPr>
            <w:tcW w:w="9076" w:type="dxa"/>
          </w:tcPr>
          <w:p w14:paraId="28ECB5D5" w14:textId="77777777" w:rsidR="008F21FD" w:rsidRDefault="00950733">
            <w:pPr>
              <w:keepNext/>
              <w:spacing w:after="0"/>
              <w:ind w:left="-70"/>
              <w:jc w:val="both"/>
              <w:rPr>
                <w:rFonts w:cs="Times New Roman"/>
                <w:b/>
                <w:color w:val="000000"/>
                <w:lang w:val="en-GB"/>
              </w:rPr>
            </w:pPr>
            <w:r>
              <w:rPr>
                <w:rFonts w:cs="Times New Roman"/>
                <w:b/>
                <w:smallCaps/>
                <w:color w:val="000000"/>
                <w:lang w:val="en-GB"/>
              </w:rPr>
              <w:t>[</w:t>
            </w:r>
            <w:r>
              <w:rPr>
                <w:rFonts w:cs="Times New Roman"/>
                <w:b/>
                <w:smallCaps/>
                <w:color w:val="000000"/>
                <w:lang w:val="en-GB"/>
              </w:rPr>
              <w:sym w:font="Symbol" w:char="F0B7"/>
            </w:r>
            <w:r>
              <w:rPr>
                <w:rFonts w:cs="Times New Roman"/>
                <w:b/>
                <w:smallCaps/>
                <w:color w:val="000000"/>
                <w:lang w:val="en-GB"/>
              </w:rPr>
              <w:t>]</w:t>
            </w:r>
          </w:p>
          <w:p w14:paraId="1C087FDA" w14:textId="77777777" w:rsidR="008F21FD" w:rsidRDefault="008F21FD">
            <w:pPr>
              <w:keepNext/>
              <w:spacing w:after="0"/>
              <w:ind w:left="-70"/>
              <w:jc w:val="both"/>
              <w:rPr>
                <w:rFonts w:cs="Times New Roman"/>
                <w:color w:val="000000"/>
                <w:lang w:val="en-GB"/>
              </w:rPr>
            </w:pPr>
          </w:p>
          <w:p w14:paraId="0D1D8F03" w14:textId="77777777" w:rsidR="008F21FD" w:rsidRDefault="008F21FD">
            <w:pPr>
              <w:keepNext/>
              <w:spacing w:after="0"/>
              <w:ind w:left="-70"/>
              <w:jc w:val="both"/>
              <w:rPr>
                <w:rFonts w:cs="Times New Roman"/>
                <w:color w:val="000000"/>
                <w:lang w:val="en-GB"/>
              </w:rPr>
            </w:pPr>
          </w:p>
          <w:p w14:paraId="42041E23" w14:textId="77777777" w:rsidR="008F21FD" w:rsidRDefault="008F21FD">
            <w:pPr>
              <w:keepNext/>
              <w:spacing w:after="0"/>
              <w:ind w:left="-70"/>
              <w:jc w:val="both"/>
              <w:rPr>
                <w:rFonts w:cs="Times New Roman"/>
                <w:color w:val="000000"/>
                <w:lang w:val="en-GB"/>
              </w:rPr>
            </w:pPr>
          </w:p>
          <w:p w14:paraId="3304F976" w14:textId="77777777" w:rsidR="008F21FD" w:rsidRDefault="00950733">
            <w:pPr>
              <w:keepNext/>
              <w:keepLines/>
              <w:tabs>
                <w:tab w:val="left" w:pos="4033"/>
              </w:tabs>
              <w:spacing w:after="0"/>
              <w:ind w:left="639" w:hanging="639"/>
              <w:jc w:val="both"/>
              <w:rPr>
                <w:rFonts w:cs="Times New Roman"/>
                <w:b/>
                <w:lang w:val="en-GB"/>
              </w:rPr>
            </w:pPr>
            <w:r>
              <w:rPr>
                <w:rFonts w:cs="Times New Roman"/>
                <w:lang w:val="en-GB"/>
              </w:rPr>
              <w:t>By:</w:t>
            </w:r>
            <w:r>
              <w:rPr>
                <w:rFonts w:cs="Times New Roman"/>
                <w:lang w:val="en-GB"/>
              </w:rPr>
              <w:tab/>
            </w:r>
          </w:p>
          <w:p w14:paraId="60E2E80D" w14:textId="77777777" w:rsidR="008F21FD" w:rsidRDefault="00950733">
            <w:pPr>
              <w:keepNext/>
              <w:keepLines/>
              <w:spacing w:after="0"/>
              <w:ind w:left="639" w:hanging="639"/>
              <w:jc w:val="both"/>
              <w:rPr>
                <w:rFonts w:cs="Times New Roman"/>
                <w:lang w:val="en-GB"/>
              </w:rPr>
            </w:pPr>
            <w:r>
              <w:rPr>
                <w:rFonts w:cs="Times New Roman"/>
                <w:lang w:val="en-GB"/>
              </w:rPr>
              <w:tab/>
              <w:t>________________________                   _________________________</w:t>
            </w:r>
          </w:p>
          <w:p w14:paraId="7BED1FCC" w14:textId="77777777" w:rsidR="008F21FD" w:rsidRDefault="00950733">
            <w:pPr>
              <w:keepNext/>
              <w:keepLines/>
              <w:tabs>
                <w:tab w:val="left" w:pos="709"/>
                <w:tab w:val="left" w:pos="5245"/>
              </w:tabs>
              <w:spacing w:after="0"/>
              <w:ind w:left="639" w:hanging="639"/>
              <w:jc w:val="both"/>
              <w:rPr>
                <w:rFonts w:cs="Times New Roman"/>
                <w:lang w:val="en-GB"/>
              </w:rPr>
            </w:pPr>
            <w:r>
              <w:rPr>
                <w:rFonts w:cs="Times New Roman"/>
                <w:lang w:val="en-GB"/>
              </w:rPr>
              <w:tab/>
            </w:r>
          </w:p>
          <w:p w14:paraId="52E9D696" w14:textId="77777777" w:rsidR="008F21FD" w:rsidRDefault="008F21FD">
            <w:pPr>
              <w:keepNext/>
              <w:keepLines/>
              <w:spacing w:after="0"/>
              <w:ind w:left="639" w:hanging="639"/>
              <w:jc w:val="both"/>
              <w:rPr>
                <w:rFonts w:cs="Times New Roman"/>
                <w:lang w:val="en-GB"/>
              </w:rPr>
            </w:pPr>
          </w:p>
          <w:p w14:paraId="6FDA0D89" w14:textId="77777777" w:rsidR="008F21FD" w:rsidRDefault="00950733">
            <w:pPr>
              <w:keepNext/>
              <w:keepLines/>
              <w:tabs>
                <w:tab w:val="left" w:pos="634"/>
              </w:tabs>
              <w:spacing w:after="0"/>
              <w:rPr>
                <w:rFonts w:cs="Times New Roman"/>
                <w:lang w:val="en-GB"/>
              </w:rPr>
            </w:pPr>
            <w:r>
              <w:rPr>
                <w:rFonts w:cs="Times New Roman"/>
                <w:lang w:val="en-GB"/>
              </w:rPr>
              <w:tab/>
              <w:t xml:space="preserve">Name : </w:t>
            </w:r>
            <w:r>
              <w:rPr>
                <w:rFonts w:cs="Times New Roman"/>
                <w:lang w:val="en-GB"/>
              </w:rPr>
              <w:tab/>
            </w:r>
            <w:r>
              <w:rPr>
                <w:rFonts w:cs="Times New Roman"/>
                <w:lang w:val="en-GB"/>
              </w:rPr>
              <w:tab/>
            </w:r>
            <w:r>
              <w:rPr>
                <w:rFonts w:cs="Times New Roman"/>
                <w:lang w:val="en-GB"/>
              </w:rPr>
              <w:tab/>
            </w:r>
            <w:r>
              <w:rPr>
                <w:rFonts w:cs="Times New Roman"/>
                <w:lang w:val="en-GB"/>
              </w:rPr>
              <w:tab/>
            </w:r>
            <w:r>
              <w:rPr>
                <w:rFonts w:cs="Times New Roman"/>
                <w:lang w:val="en-GB"/>
              </w:rPr>
              <w:tab/>
              <w:t>Name :</w:t>
            </w:r>
          </w:p>
          <w:p w14:paraId="1B4620D5" w14:textId="77777777" w:rsidR="008F21FD" w:rsidRDefault="00950733">
            <w:pPr>
              <w:keepNext/>
              <w:keepLines/>
              <w:tabs>
                <w:tab w:val="left" w:pos="1490"/>
              </w:tabs>
              <w:spacing w:after="0"/>
              <w:ind w:left="640"/>
              <w:jc w:val="both"/>
              <w:rPr>
                <w:rFonts w:cs="Times New Roman"/>
                <w:color w:val="000000"/>
                <w:lang w:val="en-GB"/>
              </w:rPr>
            </w:pPr>
            <w:r>
              <w:rPr>
                <w:rFonts w:cs="Times New Roman"/>
                <w:color w:val="000000"/>
                <w:lang w:val="en-GB"/>
              </w:rPr>
              <w:t>Title :</w:t>
            </w:r>
            <w:r>
              <w:rPr>
                <w:rFonts w:cs="Times New Roman"/>
                <w:lang w:val="en-GB"/>
              </w:rPr>
              <w:t xml:space="preserve"> </w:t>
            </w:r>
            <w:r>
              <w:rPr>
                <w:rFonts w:cs="Times New Roman"/>
                <w:lang w:val="en-GB"/>
              </w:rPr>
              <w:tab/>
            </w:r>
            <w:r>
              <w:rPr>
                <w:rFonts w:cs="Times New Roman"/>
                <w:lang w:val="en-GB"/>
              </w:rPr>
              <w:tab/>
            </w:r>
            <w:r>
              <w:rPr>
                <w:rFonts w:cs="Times New Roman"/>
                <w:lang w:val="en-GB"/>
              </w:rPr>
              <w:tab/>
            </w:r>
            <w:r>
              <w:rPr>
                <w:rFonts w:cs="Times New Roman"/>
                <w:lang w:val="en-GB"/>
              </w:rPr>
              <w:tab/>
            </w:r>
            <w:r>
              <w:rPr>
                <w:rFonts w:cs="Times New Roman"/>
                <w:lang w:val="en-GB"/>
              </w:rPr>
              <w:tab/>
            </w:r>
            <w:r>
              <w:rPr>
                <w:rFonts w:cs="Times New Roman"/>
                <w:color w:val="000000"/>
                <w:lang w:val="en-GB"/>
              </w:rPr>
              <w:t>Title :</w:t>
            </w:r>
          </w:p>
          <w:p w14:paraId="6C6639C2" w14:textId="77777777" w:rsidR="008F21FD" w:rsidRDefault="008F21FD">
            <w:pPr>
              <w:keepNext/>
              <w:spacing w:after="0"/>
              <w:ind w:left="640"/>
              <w:rPr>
                <w:rFonts w:cs="Times New Roman"/>
                <w:b/>
                <w:i/>
                <w:color w:val="000000"/>
                <w:lang w:val="en-GB"/>
              </w:rPr>
            </w:pPr>
          </w:p>
        </w:tc>
      </w:tr>
    </w:tbl>
    <w:p w14:paraId="50347568" w14:textId="77777777" w:rsidR="008F21FD" w:rsidRDefault="008F21FD">
      <w:pPr>
        <w:spacing w:after="120"/>
        <w:jc w:val="both"/>
        <w:rPr>
          <w:rFonts w:cs="Times New Roman"/>
          <w:lang w:val="en-GB"/>
        </w:rPr>
      </w:pPr>
    </w:p>
    <w:sectPr w:rsidR="008F21FD">
      <w:footerReference w:type="default" r:id="rId7"/>
      <w:footerReference w:type="first" r:id="rId8"/>
      <w:pgSz w:w="11906" w:h="16838" w:code="9"/>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B817C" w14:textId="77777777" w:rsidR="008F21FD" w:rsidRDefault="00950733">
      <w:pPr>
        <w:spacing w:after="0" w:line="240" w:lineRule="auto"/>
      </w:pPr>
      <w:r>
        <w:separator/>
      </w:r>
    </w:p>
  </w:endnote>
  <w:endnote w:type="continuationSeparator" w:id="0">
    <w:p w14:paraId="6A09812A" w14:textId="77777777" w:rsidR="008F21FD" w:rsidRDefault="00950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FKai-SB">
    <w:altName w:val="Microsoft JhengHei Light"/>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F2487" w14:textId="77777777" w:rsidR="008F21FD" w:rsidRDefault="00950733">
    <w:pPr>
      <w:pStyle w:val="Pieddepage"/>
    </w:pPr>
    <w:r>
      <w:tab/>
      <w:t>-</w:t>
    </w:r>
    <w:r>
      <w:rPr>
        <w:rStyle w:val="Numrodepage"/>
      </w:rPr>
      <w:fldChar w:fldCharType="begin"/>
    </w:r>
    <w:r>
      <w:rPr>
        <w:rStyle w:val="Numrodepage"/>
      </w:rPr>
      <w:instrText xml:space="preserve"> PAGE \* MERGEFORMAT \* MERGEFORMAT </w:instrText>
    </w:r>
    <w:r>
      <w:rPr>
        <w:rStyle w:val="Numrodepage"/>
      </w:rPr>
      <w:fldChar w:fldCharType="separate"/>
    </w:r>
    <w:r>
      <w:rPr>
        <w:rStyle w:val="Numrodepage"/>
        <w:noProof/>
      </w:rPr>
      <w:t>2</w:t>
    </w:r>
    <w:r>
      <w:rPr>
        <w:rStyle w:val="Numrodepage"/>
      </w:rPr>
      <w:fldChar w:fldCharType="end"/>
    </w:r>
    <w:r>
      <w:t>-</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AEC32" w14:textId="77777777" w:rsidR="008F21FD" w:rsidRDefault="00950733">
    <w:pPr>
      <w:pStyle w:val="Pieddepage"/>
      <w:spacing w:line="200" w:lineRule="exact"/>
      <w:jc w:val="both"/>
    </w:pPr>
    <w:r>
      <w:t xml:space="preserve">The ISDA Benchmarks Supplement is copyright 2018 by International Swaps and Derivatives Association, Inc. (ISDA), and those provisions’ use and reproduction are made with its permission. The </w:t>
    </w:r>
    <w:r>
      <w:rPr>
        <w:i/>
      </w:rPr>
      <w:t xml:space="preserve">Fédération </w:t>
    </w:r>
    <w:proofErr w:type="spellStart"/>
    <w:r>
      <w:rPr>
        <w:i/>
      </w:rPr>
      <w:t>bancaire</w:t>
    </w:r>
    <w:proofErr w:type="spellEnd"/>
    <w:r>
      <w:rPr>
        <w:i/>
      </w:rPr>
      <w:t xml:space="preserve"> </w:t>
    </w:r>
    <w:proofErr w:type="spellStart"/>
    <w:r>
      <w:rPr>
        <w:i/>
      </w:rPr>
      <w:t>française</w:t>
    </w:r>
    <w:proofErr w:type="spellEnd"/>
    <w:r>
      <w:rPr>
        <w:i/>
      </w:rPr>
      <w:t xml:space="preserve">, </w:t>
    </w:r>
    <w:r>
      <w:t>the Master Agreement relating to transactions on forward financial instruments and the Master Agreement for foreign exchange and derivatives transactions are not affiliated with ISDA and ISDA did not participate in drafting this template amendment agreement. ISDA takes no position as to and makes no representations or warranty, express or implied, concerning this instrument’s suitability for use in any particular transaction, and bears no responsibility or liability, whether in tort or in contract, for any use of the ISDA Benchmarks Supplement as incorporated in the Master Agreement relating to transactions on forward financial instruments or the Master Agreement for foreign exchange and derivatives transactions. Users are urged to confer with legal counsel to determine this instrument’s suitability for the contemplated use.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88FFD6" w14:textId="77777777" w:rsidR="008F21FD" w:rsidRDefault="00950733">
      <w:pPr>
        <w:spacing w:after="0" w:line="240" w:lineRule="auto"/>
      </w:pPr>
      <w:r>
        <w:separator/>
      </w:r>
    </w:p>
  </w:footnote>
  <w:footnote w:type="continuationSeparator" w:id="0">
    <w:p w14:paraId="6D75D484" w14:textId="77777777" w:rsidR="008F21FD" w:rsidRDefault="00950733">
      <w:pPr>
        <w:spacing w:after="0" w:line="240" w:lineRule="auto"/>
      </w:pPr>
      <w:r>
        <w:continuationSeparator/>
      </w:r>
    </w:p>
  </w:footnote>
  <w:footnote w:id="1">
    <w:p w14:paraId="436D208F" w14:textId="77777777" w:rsidR="008F21FD" w:rsidRDefault="00950733">
      <w:pPr>
        <w:pStyle w:val="Notedebasdepage"/>
        <w:rPr>
          <w:lang w:val="fr-FR"/>
        </w:rPr>
      </w:pPr>
      <w:r>
        <w:rPr>
          <w:rStyle w:val="Appelnotedebasdep"/>
        </w:rPr>
        <w:footnoteRef/>
      </w:r>
      <w:r>
        <w:t xml:space="preserve"> </w:t>
      </w:r>
      <w:r>
        <w:rPr>
          <w:lang w:val="fr-FR"/>
        </w:rPr>
        <w:t xml:space="preserve">“ISDA” is a </w:t>
      </w:r>
      <w:proofErr w:type="spellStart"/>
      <w:r>
        <w:rPr>
          <w:lang w:val="fr-FR"/>
        </w:rPr>
        <w:t>registered</w:t>
      </w:r>
      <w:proofErr w:type="spellEnd"/>
      <w:r>
        <w:rPr>
          <w:lang w:val="fr-FR"/>
        </w:rPr>
        <w:t xml:space="preserve"> mark of the International Swaps and </w:t>
      </w:r>
      <w:proofErr w:type="spellStart"/>
      <w:r>
        <w:rPr>
          <w:lang w:val="fr-FR"/>
        </w:rPr>
        <w:t>Derivatives</w:t>
      </w:r>
      <w:proofErr w:type="spellEnd"/>
      <w:r>
        <w:rPr>
          <w:lang w:val="fr-FR"/>
        </w:rPr>
        <w:t xml:space="preserve"> Association, Inc.</w:t>
      </w:r>
    </w:p>
    <w:p w14:paraId="4C86D9B4" w14:textId="77777777" w:rsidR="008F21FD" w:rsidRDefault="008F21FD">
      <w:pPr>
        <w:rPr>
          <w:lang w:val="fr-FR"/>
        </w:rPr>
      </w:pPr>
    </w:p>
  </w:footnote>
  <w:footnote w:id="2">
    <w:p w14:paraId="6C5A9A5E" w14:textId="77777777" w:rsidR="008F21FD" w:rsidRDefault="00950733">
      <w:pPr>
        <w:pStyle w:val="Notedebasdepage"/>
        <w:rPr>
          <w:lang w:val="fr-FR"/>
        </w:rPr>
      </w:pPr>
      <w:r>
        <w:rPr>
          <w:rStyle w:val="Appelnotedebasdep"/>
        </w:rPr>
        <w:footnoteRef/>
      </w:r>
      <w:r>
        <w:t xml:space="preserve"> </w:t>
      </w:r>
      <w:proofErr w:type="spellStart"/>
      <w:r>
        <w:rPr>
          <w:lang w:val="fr-FR"/>
        </w:rPr>
        <w:t>Delete</w:t>
      </w:r>
      <w:proofErr w:type="spellEnd"/>
      <w:r>
        <w:rPr>
          <w:lang w:val="fr-FR"/>
        </w:rPr>
        <w:t xml:space="preserve"> as applicable.</w:t>
      </w:r>
    </w:p>
  </w:footnote>
  <w:footnote w:id="3">
    <w:p w14:paraId="6AE0E907" w14:textId="77777777" w:rsidR="008F21FD" w:rsidRDefault="00950733">
      <w:pPr>
        <w:pStyle w:val="Notedebasdepage"/>
        <w:rPr>
          <w:lang w:val="fr-FR"/>
        </w:rPr>
      </w:pPr>
      <w:r>
        <w:rPr>
          <w:rStyle w:val="Appelnotedebasdep"/>
        </w:rPr>
        <w:footnoteRef/>
      </w:r>
      <w:r>
        <w:t xml:space="preserve"> </w:t>
      </w:r>
      <w:r>
        <w:rPr>
          <w:lang w:val="fr-FR"/>
        </w:rPr>
        <w:t xml:space="preserve">To </w:t>
      </w:r>
      <w:proofErr w:type="spellStart"/>
      <w:r>
        <w:rPr>
          <w:lang w:val="fr-FR"/>
        </w:rPr>
        <w:t>be</w:t>
      </w:r>
      <w:proofErr w:type="spellEnd"/>
      <w:r>
        <w:rPr>
          <w:lang w:val="fr-FR"/>
        </w:rPr>
        <w:t xml:space="preserve"> </w:t>
      </w:r>
      <w:proofErr w:type="spellStart"/>
      <w:r>
        <w:rPr>
          <w:lang w:val="fr-FR"/>
        </w:rPr>
        <w:t>inserted</w:t>
      </w:r>
      <w:proofErr w:type="spellEnd"/>
      <w:r>
        <w:rPr>
          <w:lang w:val="fr-FR"/>
        </w:rPr>
        <w:t xml:space="preserve"> if this clause is </w:t>
      </w:r>
      <w:proofErr w:type="spellStart"/>
      <w:r>
        <w:rPr>
          <w:lang w:val="fr-FR"/>
        </w:rPr>
        <w:t>inserted</w:t>
      </w:r>
      <w:proofErr w:type="spellEnd"/>
      <w:r>
        <w:rPr>
          <w:lang w:val="fr-FR"/>
        </w:rPr>
        <w:t xml:space="preserve"> in a </w:t>
      </w:r>
      <w:proofErr w:type="spellStart"/>
      <w:r>
        <w:rPr>
          <w:lang w:val="fr-FR"/>
        </w:rPr>
        <w:t>schedule</w:t>
      </w:r>
      <w:proofErr w:type="spellEnd"/>
      <w:r>
        <w:rPr>
          <w:lang w:val="fr-FR"/>
        </w:rPr>
        <w:t xml:space="preserve"> to the Agreement.</w:t>
      </w:r>
    </w:p>
  </w:footnote>
  <w:footnote w:id="4">
    <w:p w14:paraId="5158AC80" w14:textId="77777777" w:rsidR="008F21FD" w:rsidRDefault="00950733">
      <w:pPr>
        <w:pStyle w:val="Notedebasdepage"/>
        <w:rPr>
          <w:lang w:val="fr-FR"/>
        </w:rPr>
      </w:pPr>
      <w:r>
        <w:rPr>
          <w:rStyle w:val="Appelnotedebasdep"/>
        </w:rPr>
        <w:footnoteRef/>
      </w:r>
      <w:r>
        <w:t xml:space="preserve"> </w:t>
      </w:r>
      <w:r>
        <w:rPr>
          <w:lang w:val="fr-FR"/>
        </w:rPr>
        <w:t xml:space="preserve">To </w:t>
      </w:r>
      <w:proofErr w:type="spellStart"/>
      <w:r>
        <w:rPr>
          <w:lang w:val="fr-FR"/>
        </w:rPr>
        <w:t>be</w:t>
      </w:r>
      <w:proofErr w:type="spellEnd"/>
      <w:r>
        <w:rPr>
          <w:lang w:val="fr-FR"/>
        </w:rPr>
        <w:t xml:space="preserve"> </w:t>
      </w:r>
      <w:proofErr w:type="spellStart"/>
      <w:r>
        <w:rPr>
          <w:lang w:val="fr-FR"/>
        </w:rPr>
        <w:t>inserted</w:t>
      </w:r>
      <w:proofErr w:type="spellEnd"/>
      <w:r>
        <w:rPr>
          <w:lang w:val="fr-FR"/>
        </w:rPr>
        <w:t xml:space="preserve"> if this clause is </w:t>
      </w:r>
      <w:proofErr w:type="spellStart"/>
      <w:r>
        <w:rPr>
          <w:lang w:val="fr-FR"/>
        </w:rPr>
        <w:t>inserted</w:t>
      </w:r>
      <w:proofErr w:type="spellEnd"/>
      <w:r>
        <w:rPr>
          <w:lang w:val="fr-FR"/>
        </w:rPr>
        <w:t xml:space="preserve"> in a Confirmation.</w:t>
      </w:r>
    </w:p>
  </w:footnote>
  <w:footnote w:id="5">
    <w:p w14:paraId="51DE872F" w14:textId="77777777" w:rsidR="008F21FD" w:rsidRDefault="00950733">
      <w:pPr>
        <w:pStyle w:val="Notedebasdepage"/>
      </w:pPr>
      <w:r>
        <w:rPr>
          <w:rStyle w:val="Appelnotedebasdep"/>
        </w:rPr>
        <w:footnoteRef/>
      </w:r>
      <w:r>
        <w:t xml:space="preserve"> Article 6.1 for the 2013 version of the FBF Master agreement ; Article 6 for the other FBF or AFB Master Agreements.</w:t>
      </w:r>
    </w:p>
  </w:footnote>
  <w:footnote w:id="6">
    <w:p w14:paraId="60F50A5C" w14:textId="77777777" w:rsidR="008F21FD" w:rsidRDefault="00950733">
      <w:pPr>
        <w:pStyle w:val="Notedebasdepage"/>
      </w:pPr>
      <w:r>
        <w:rPr>
          <w:rStyle w:val="Appelnotedebasdep"/>
        </w:rPr>
        <w:footnoteRef/>
      </w:r>
      <w:r>
        <w:t xml:space="preserve"> Delete as applicable.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AB7127"/>
    <w:multiLevelType w:val="multilevel"/>
    <w:tmpl w:val="AB6AA94E"/>
    <w:name w:val="zzmpFBF||FBF|3|3|1|1|2|45||1|2|1||1|2|0||1|2|0||mpNA||mpNA||mpNA||mpNA||mpNA||"/>
    <w:lvl w:ilvl="0">
      <w:start w:val="1"/>
      <w:numFmt w:val="none"/>
      <w:pStyle w:val="FBFL1"/>
      <w:lvlText w:val="[X]."/>
      <w:lvlJc w:val="left"/>
      <w:pPr>
        <w:tabs>
          <w:tab w:val="num" w:pos="1134"/>
        </w:tabs>
        <w:ind w:left="1134" w:hanging="1134"/>
      </w:pPr>
      <w:rPr>
        <w:rFonts w:ascii="Times New Roman" w:hAnsi="Times New Roman" w:cs="Times New Roman" w:hint="default"/>
        <w:b/>
        <w:i w:val="0"/>
        <w:caps/>
        <w:smallCaps w:val="0"/>
        <w:sz w:val="22"/>
        <w:u w:val="none"/>
      </w:rPr>
    </w:lvl>
    <w:lvl w:ilvl="1">
      <w:start w:val="1"/>
      <w:numFmt w:val="decimal"/>
      <w:pStyle w:val="FBFL2"/>
      <w:lvlText w:val="[X].%2"/>
      <w:lvlJc w:val="left"/>
      <w:pPr>
        <w:tabs>
          <w:tab w:val="num" w:pos="1134"/>
        </w:tabs>
        <w:ind w:left="1134" w:hanging="1134"/>
      </w:pPr>
      <w:rPr>
        <w:rFonts w:ascii="Times New Roman" w:hAnsi="Times New Roman" w:cs="Times New Roman" w:hint="default"/>
        <w:b/>
        <w:i w:val="0"/>
        <w:caps w:val="0"/>
        <w:sz w:val="22"/>
        <w:u w:val="none"/>
      </w:rPr>
    </w:lvl>
    <w:lvl w:ilvl="2">
      <w:start w:val="1"/>
      <w:numFmt w:val="decimal"/>
      <w:pStyle w:val="FBFL3"/>
      <w:lvlText w:val="[X].%2.%3"/>
      <w:lvlJc w:val="left"/>
      <w:pPr>
        <w:tabs>
          <w:tab w:val="num" w:pos="1134"/>
        </w:tabs>
        <w:ind w:left="1134" w:hanging="1134"/>
      </w:pPr>
      <w:rPr>
        <w:rFonts w:ascii="Times New Roman" w:hAnsi="Times New Roman" w:cs="Times New Roman" w:hint="default"/>
        <w:b w:val="0"/>
        <w:i w:val="0"/>
        <w:caps w:val="0"/>
        <w:sz w:val="22"/>
        <w:u w:val="none"/>
      </w:rPr>
    </w:lvl>
    <w:lvl w:ilvl="3">
      <w:start w:val="1"/>
      <w:numFmt w:val="bullet"/>
      <w:lvlRestart w:val="0"/>
      <w:pStyle w:val="FBFL4"/>
      <w:lvlText w:val=""/>
      <w:lvlJc w:val="left"/>
      <w:pPr>
        <w:tabs>
          <w:tab w:val="num" w:pos="1984"/>
        </w:tabs>
        <w:ind w:left="1984" w:hanging="850"/>
      </w:pPr>
      <w:rPr>
        <w:rFonts w:ascii="Symbol" w:hAnsi="Symbol" w:cs="Times New Roman" w:hint="default"/>
        <w:b w:val="0"/>
        <w:i w:val="0"/>
        <w:caps w:val="0"/>
        <w:sz w:val="22"/>
        <w:u w:val="none"/>
      </w:rPr>
    </w:lvl>
    <w:lvl w:ilvl="4">
      <w:start w:val="1"/>
      <w:numFmt w:val="none"/>
      <w:suff w:val="nothing"/>
      <w:lvlText w:val=""/>
      <w:lvlJc w:val="left"/>
      <w:pPr>
        <w:ind w:left="0" w:firstLine="0"/>
      </w:pPr>
      <w:rPr>
        <w:rFonts w:ascii="Times New Roman" w:hAnsi="Times New Roman" w:cs="Times New Roman" w:hint="default"/>
        <w:b w:val="0"/>
        <w:i w:val="0"/>
        <w:caps w:val="0"/>
        <w:color w:val="auto"/>
        <w:sz w:val="24"/>
        <w:u w:val="none"/>
      </w:rPr>
    </w:lvl>
    <w:lvl w:ilvl="5">
      <w:start w:val="1"/>
      <w:numFmt w:val="none"/>
      <w:suff w:val="nothing"/>
      <w:lvlText w:val=""/>
      <w:lvlJc w:val="left"/>
      <w:pPr>
        <w:ind w:left="0" w:firstLine="0"/>
      </w:pPr>
      <w:rPr>
        <w:rFonts w:ascii="Times New Roman" w:hAnsi="Times New Roman" w:cs="Times New Roman" w:hint="default"/>
        <w:b w:val="0"/>
        <w:i w:val="0"/>
        <w:caps w:val="0"/>
        <w:color w:val="auto"/>
        <w:sz w:val="24"/>
        <w:u w:val="none"/>
      </w:rPr>
    </w:lvl>
    <w:lvl w:ilvl="6">
      <w:start w:val="1"/>
      <w:numFmt w:val="none"/>
      <w:suff w:val="nothing"/>
      <w:lvlText w:val=""/>
      <w:lvlJc w:val="left"/>
      <w:pPr>
        <w:ind w:left="0" w:firstLine="0"/>
      </w:pPr>
      <w:rPr>
        <w:rFonts w:ascii="Times New Roman" w:hAnsi="Times New Roman" w:cs="Times New Roman" w:hint="default"/>
        <w:b w:val="0"/>
        <w:i w:val="0"/>
        <w:caps w:val="0"/>
        <w:color w:val="auto"/>
        <w:sz w:val="24"/>
        <w:u w:val="none"/>
      </w:rPr>
    </w:lvl>
    <w:lvl w:ilvl="7">
      <w:start w:val="1"/>
      <w:numFmt w:val="none"/>
      <w:suff w:val="nothing"/>
      <w:lvlText w:val=""/>
      <w:lvlJc w:val="left"/>
      <w:pPr>
        <w:ind w:left="0" w:firstLine="0"/>
      </w:pPr>
      <w:rPr>
        <w:rFonts w:ascii="Times New Roman" w:hAnsi="Times New Roman" w:cs="Times New Roman" w:hint="default"/>
        <w:b w:val="0"/>
        <w:i w:val="0"/>
        <w:caps w:val="0"/>
        <w:color w:val="auto"/>
        <w:sz w:val="24"/>
        <w:u w:val="none"/>
      </w:rPr>
    </w:lvl>
    <w:lvl w:ilvl="8">
      <w:start w:val="1"/>
      <w:numFmt w:val="none"/>
      <w:suff w:val="nothing"/>
      <w:lvlText w:val=""/>
      <w:lvlJc w:val="left"/>
      <w:pPr>
        <w:ind w:left="0" w:firstLine="0"/>
      </w:pPr>
      <w:rPr>
        <w:rFonts w:ascii="Times New Roman" w:hAnsi="Times New Roman" w:cs="Times New Roman" w:hint="default"/>
        <w:b w:val="0"/>
        <w:i w:val="0"/>
        <w:caps w:val="0"/>
        <w:color w:val="auto"/>
        <w:sz w:val="24"/>
        <w:u w:val="none"/>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1FD"/>
    <w:rsid w:val="008F21FD"/>
    <w:rsid w:val="00950733"/>
    <w:rsid w:val="00D16DEF"/>
    <w:rsid w:val="00E945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D52BF"/>
  <w15:chartTrackingRefBased/>
  <w15:docId w15:val="{5F9838CD-079E-4156-A8BB-A1F2F2875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FKai-SB"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3"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iPriority="1" w:unhideWhenUsed="1"/>
    <w:lsdException w:name="Note Heading" w:semiHidden="1" w:unhideWhenUsed="1"/>
    <w:lsdException w:name="Body Text 2" w:semiHidden="1" w:uiPriority="1" w:unhideWhenUsed="1"/>
    <w:lsdException w:name="Body Text 3" w:semiHidden="1" w:uiPriority="2" w:unhideWhenUsed="1"/>
    <w:lsdException w:name="Body Text Indent 2" w:semiHidden="1" w:uiPriority="1" w:unhideWhenUsed="1"/>
    <w:lsdException w:name="Body Text Indent 3" w:semiHidden="1" w:uiPriority="2"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Titre1">
    <w:name w:val="heading 1"/>
    <w:basedOn w:val="Normal"/>
    <w:next w:val="Normal"/>
    <w:link w:val="Titre1Car"/>
    <w:uiPriority w:val="9"/>
    <w:unhideWhenUsed/>
    <w:pPr>
      <w:keepNext/>
      <w:keepLines/>
      <w:spacing w:after="240"/>
      <w:outlineLvl w:val="0"/>
    </w:pPr>
    <w:rPr>
      <w:rFonts w:cstheme="majorBidi"/>
      <w:b/>
      <w:bCs/>
      <w:szCs w:val="28"/>
    </w:rPr>
  </w:style>
  <w:style w:type="paragraph" w:styleId="Titre2">
    <w:name w:val="heading 2"/>
    <w:basedOn w:val="Normal"/>
    <w:next w:val="Normal"/>
    <w:link w:val="Titre2Car"/>
    <w:uiPriority w:val="9"/>
    <w:semiHidden/>
    <w:unhideWhenUsed/>
    <w:pPr>
      <w:keepNext/>
      <w:keepLines/>
      <w:spacing w:after="240"/>
      <w:outlineLvl w:val="1"/>
    </w:pPr>
    <w:rPr>
      <w:rFonts w:cstheme="majorBidi"/>
      <w:b/>
      <w:bCs/>
      <w:szCs w:val="26"/>
    </w:rPr>
  </w:style>
  <w:style w:type="paragraph" w:styleId="Titre3">
    <w:name w:val="heading 3"/>
    <w:basedOn w:val="Normal"/>
    <w:next w:val="Normal"/>
    <w:link w:val="Titre3Car"/>
    <w:uiPriority w:val="9"/>
    <w:semiHidden/>
    <w:unhideWhenUsed/>
    <w:pPr>
      <w:keepNext/>
      <w:keepLines/>
      <w:spacing w:after="240"/>
      <w:outlineLvl w:val="2"/>
    </w:pPr>
    <w:rPr>
      <w:rFonts w:cstheme="majorBidi"/>
      <w:bCs/>
    </w:rPr>
  </w:style>
  <w:style w:type="paragraph" w:styleId="Titre4">
    <w:name w:val="heading 4"/>
    <w:basedOn w:val="Normal"/>
    <w:next w:val="Normal"/>
    <w:link w:val="Titre4Car"/>
    <w:uiPriority w:val="9"/>
    <w:semiHidden/>
    <w:unhideWhenUsed/>
    <w:pPr>
      <w:keepNext/>
      <w:keepLines/>
      <w:spacing w:after="240"/>
      <w:outlineLvl w:val="3"/>
    </w:pPr>
    <w:rPr>
      <w:rFonts w:cstheme="majorBidi"/>
      <w:bCs/>
      <w:iCs/>
    </w:rPr>
  </w:style>
  <w:style w:type="paragraph" w:styleId="Titre5">
    <w:name w:val="heading 5"/>
    <w:basedOn w:val="Normal"/>
    <w:next w:val="Normal"/>
    <w:link w:val="Titre5Car"/>
    <w:uiPriority w:val="9"/>
    <w:semiHidden/>
    <w:unhideWhenUsed/>
    <w:pPr>
      <w:keepNext/>
      <w:keepLines/>
      <w:spacing w:after="240"/>
      <w:outlineLvl w:val="4"/>
    </w:pPr>
    <w:rPr>
      <w:rFonts w:cstheme="majorBidi"/>
    </w:rPr>
  </w:style>
  <w:style w:type="paragraph" w:styleId="Titre6">
    <w:name w:val="heading 6"/>
    <w:basedOn w:val="Normal"/>
    <w:next w:val="Normal"/>
    <w:link w:val="Titre6Car"/>
    <w:uiPriority w:val="9"/>
    <w:semiHidden/>
    <w:unhideWhenUsed/>
    <w:pPr>
      <w:keepNext/>
      <w:keepLines/>
      <w:spacing w:after="240"/>
      <w:outlineLvl w:val="5"/>
    </w:pPr>
    <w:rPr>
      <w:rFonts w:cstheme="majorBidi"/>
      <w:iCs/>
    </w:rPr>
  </w:style>
  <w:style w:type="paragraph" w:styleId="Titre7">
    <w:name w:val="heading 7"/>
    <w:basedOn w:val="Normal"/>
    <w:next w:val="Normal"/>
    <w:link w:val="Titre7Car"/>
    <w:uiPriority w:val="9"/>
    <w:semiHidden/>
    <w:unhideWhenUsed/>
    <w:pPr>
      <w:keepNext/>
      <w:keepLines/>
      <w:spacing w:after="240"/>
      <w:outlineLvl w:val="6"/>
    </w:pPr>
    <w:rPr>
      <w:rFonts w:cstheme="majorBidi"/>
      <w:iCs/>
    </w:rPr>
  </w:style>
  <w:style w:type="paragraph" w:styleId="Titre8">
    <w:name w:val="heading 8"/>
    <w:basedOn w:val="Normal"/>
    <w:next w:val="Normal"/>
    <w:link w:val="Titre8Car"/>
    <w:uiPriority w:val="9"/>
    <w:semiHidden/>
    <w:unhideWhenUsed/>
    <w:pPr>
      <w:keepNext/>
      <w:keepLines/>
      <w:spacing w:after="240"/>
      <w:outlineLvl w:val="7"/>
    </w:pPr>
    <w:rPr>
      <w:rFonts w:cstheme="majorBidi"/>
      <w:szCs w:val="20"/>
    </w:rPr>
  </w:style>
  <w:style w:type="paragraph" w:styleId="Titre9">
    <w:name w:val="heading 9"/>
    <w:basedOn w:val="Normal"/>
    <w:next w:val="Normal"/>
    <w:link w:val="Titre9Car"/>
    <w:uiPriority w:val="9"/>
    <w:semiHidden/>
    <w:unhideWhenUsed/>
    <w:pPr>
      <w:keepNext/>
      <w:keepLines/>
      <w:spacing w:after="240"/>
      <w:outlineLvl w:val="8"/>
    </w:pPr>
    <w:rPr>
      <w:rFonts w:cstheme="majorBidi"/>
      <w:iCs/>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eastAsia="DFKai-SB" w:hAnsi="Tahoma" w:cs="Tahoma"/>
      <w:sz w:val="16"/>
      <w:szCs w:val="16"/>
    </w:rPr>
  </w:style>
  <w:style w:type="paragraph" w:styleId="Normalcentr">
    <w:name w:val="Block Text"/>
    <w:basedOn w:val="Normal"/>
    <w:qFormat/>
    <w:pPr>
      <w:spacing w:after="240"/>
      <w:ind w:left="720" w:right="720"/>
    </w:pPr>
    <w:rPr>
      <w:iCs/>
    </w:rPr>
  </w:style>
  <w:style w:type="paragraph" w:customStyle="1" w:styleId="BlockText2">
    <w:name w:val="Block Text 2"/>
    <w:basedOn w:val="Normal"/>
    <w:uiPriority w:val="1"/>
    <w:semiHidden/>
    <w:unhideWhenUsed/>
    <w:pPr>
      <w:spacing w:line="480" w:lineRule="auto"/>
      <w:ind w:left="720" w:right="720"/>
    </w:pPr>
  </w:style>
  <w:style w:type="paragraph" w:customStyle="1" w:styleId="BlockText3">
    <w:name w:val="Block Text 3"/>
    <w:basedOn w:val="Normal"/>
    <w:uiPriority w:val="2"/>
    <w:semiHidden/>
    <w:unhideWhenUsed/>
    <w:pPr>
      <w:spacing w:after="120" w:line="360" w:lineRule="auto"/>
      <w:ind w:left="720" w:right="720"/>
    </w:pPr>
  </w:style>
  <w:style w:type="paragraph" w:styleId="Corpsdetexte">
    <w:name w:val="Body Text"/>
    <w:basedOn w:val="Normal"/>
    <w:link w:val="CorpsdetexteCar"/>
    <w:qFormat/>
    <w:pPr>
      <w:spacing w:after="240"/>
    </w:pPr>
  </w:style>
  <w:style w:type="character" w:customStyle="1" w:styleId="CorpsdetexteCar">
    <w:name w:val="Corps de texte Car"/>
    <w:basedOn w:val="Policepardfaut"/>
    <w:link w:val="Corpsdetexte"/>
    <w:rPr>
      <w:rFonts w:ascii="Times New Roman" w:eastAsia="DFKai-SB" w:hAnsi="Times New Roman" w:cs="Times New Roman"/>
      <w:sz w:val="24"/>
      <w:szCs w:val="24"/>
    </w:rPr>
  </w:style>
  <w:style w:type="paragraph" w:styleId="Corpsdetexte2">
    <w:name w:val="Body Text 2"/>
    <w:basedOn w:val="Normal"/>
    <w:link w:val="Corpsdetexte2Car"/>
    <w:uiPriority w:val="1"/>
    <w:semiHidden/>
    <w:unhideWhenUsed/>
    <w:pPr>
      <w:spacing w:line="480" w:lineRule="auto"/>
    </w:pPr>
  </w:style>
  <w:style w:type="character" w:customStyle="1" w:styleId="Corpsdetexte2Car">
    <w:name w:val="Corps de texte 2 Car"/>
    <w:basedOn w:val="Policepardfaut"/>
    <w:link w:val="Corpsdetexte2"/>
    <w:uiPriority w:val="1"/>
    <w:semiHidden/>
    <w:rPr>
      <w:rFonts w:ascii="Times New Roman" w:eastAsia="DFKai-SB" w:hAnsi="Times New Roman" w:cs="Times New Roman"/>
      <w:sz w:val="24"/>
      <w:szCs w:val="24"/>
    </w:rPr>
  </w:style>
  <w:style w:type="paragraph" w:styleId="Corpsdetexte3">
    <w:name w:val="Body Text 3"/>
    <w:basedOn w:val="Normal"/>
    <w:link w:val="Corpsdetexte3Car"/>
    <w:uiPriority w:val="2"/>
    <w:semiHidden/>
    <w:unhideWhenUsed/>
    <w:pPr>
      <w:spacing w:after="120" w:line="360" w:lineRule="auto"/>
    </w:pPr>
    <w:rPr>
      <w:szCs w:val="16"/>
    </w:rPr>
  </w:style>
  <w:style w:type="character" w:customStyle="1" w:styleId="Corpsdetexte3Car">
    <w:name w:val="Corps de texte 3 Car"/>
    <w:basedOn w:val="Policepardfaut"/>
    <w:link w:val="Corpsdetexte3"/>
    <w:uiPriority w:val="2"/>
    <w:semiHidden/>
    <w:rPr>
      <w:rFonts w:ascii="Times New Roman" w:eastAsia="DFKai-SB" w:hAnsi="Times New Roman" w:cs="Times New Roman"/>
      <w:sz w:val="24"/>
      <w:szCs w:val="16"/>
    </w:rPr>
  </w:style>
  <w:style w:type="paragraph" w:styleId="Retrait1religne">
    <w:name w:val="Body Text First Indent"/>
    <w:basedOn w:val="Normal"/>
    <w:link w:val="Retrait1religneCar"/>
    <w:qFormat/>
    <w:pPr>
      <w:spacing w:after="240"/>
      <w:ind w:firstLine="720"/>
    </w:pPr>
  </w:style>
  <w:style w:type="character" w:customStyle="1" w:styleId="Retrait1religneCar">
    <w:name w:val="Retrait 1re ligne Car"/>
    <w:basedOn w:val="CorpsdetexteCar"/>
    <w:link w:val="Retrait1religne"/>
    <w:rPr>
      <w:rFonts w:ascii="Times New Roman" w:eastAsia="DFKai-SB" w:hAnsi="Times New Roman" w:cs="Times New Roman"/>
      <w:sz w:val="24"/>
      <w:szCs w:val="24"/>
    </w:rPr>
  </w:style>
  <w:style w:type="paragraph" w:styleId="Retraitcorpsdetexte">
    <w:name w:val="Body Text Indent"/>
    <w:basedOn w:val="Normal"/>
    <w:link w:val="RetraitcorpsdetexteCar"/>
    <w:qFormat/>
    <w:pPr>
      <w:spacing w:after="240"/>
      <w:ind w:left="720"/>
    </w:pPr>
  </w:style>
  <w:style w:type="character" w:customStyle="1" w:styleId="RetraitcorpsdetexteCar">
    <w:name w:val="Retrait corps de texte Car"/>
    <w:basedOn w:val="Policepardfaut"/>
    <w:link w:val="Retraitcorpsdetexte"/>
    <w:rPr>
      <w:rFonts w:ascii="Times New Roman" w:eastAsia="DFKai-SB" w:hAnsi="Times New Roman" w:cs="Times New Roman"/>
      <w:sz w:val="24"/>
      <w:szCs w:val="24"/>
    </w:rPr>
  </w:style>
  <w:style w:type="paragraph" w:styleId="Retraitcorpset1relig">
    <w:name w:val="Body Text First Indent 2"/>
    <w:basedOn w:val="Normal"/>
    <w:link w:val="Retraitcorpset1religCar"/>
    <w:uiPriority w:val="1"/>
    <w:semiHidden/>
    <w:unhideWhenUsed/>
    <w:pPr>
      <w:spacing w:line="480" w:lineRule="auto"/>
      <w:ind w:firstLine="720"/>
    </w:pPr>
  </w:style>
  <w:style w:type="character" w:customStyle="1" w:styleId="Retraitcorpset1religCar">
    <w:name w:val="Retrait corps et 1re lig. Car"/>
    <w:basedOn w:val="RetraitcorpsdetexteCar"/>
    <w:link w:val="Retraitcorpset1relig"/>
    <w:uiPriority w:val="1"/>
    <w:semiHidden/>
    <w:rPr>
      <w:rFonts w:ascii="Times New Roman" w:eastAsia="DFKai-SB" w:hAnsi="Times New Roman" w:cs="Times New Roman"/>
      <w:sz w:val="24"/>
      <w:szCs w:val="24"/>
    </w:rPr>
  </w:style>
  <w:style w:type="paragraph" w:customStyle="1" w:styleId="BodyTextFirstIndent3">
    <w:name w:val="Body Text First Indent 3"/>
    <w:basedOn w:val="Normal"/>
    <w:uiPriority w:val="2"/>
    <w:semiHidden/>
    <w:unhideWhenUsed/>
    <w:pPr>
      <w:spacing w:after="120" w:line="360" w:lineRule="auto"/>
      <w:ind w:firstLine="720"/>
    </w:pPr>
  </w:style>
  <w:style w:type="paragraph" w:styleId="Retraitcorpsdetexte2">
    <w:name w:val="Body Text Indent 2"/>
    <w:basedOn w:val="Normal"/>
    <w:link w:val="Retraitcorpsdetexte2Car"/>
    <w:uiPriority w:val="1"/>
    <w:semiHidden/>
    <w:unhideWhenUsed/>
    <w:pPr>
      <w:spacing w:line="480" w:lineRule="auto"/>
      <w:ind w:left="720"/>
    </w:pPr>
  </w:style>
  <w:style w:type="character" w:customStyle="1" w:styleId="Retraitcorpsdetexte2Car">
    <w:name w:val="Retrait corps de texte 2 Car"/>
    <w:basedOn w:val="Policepardfaut"/>
    <w:link w:val="Retraitcorpsdetexte2"/>
    <w:uiPriority w:val="1"/>
    <w:semiHidden/>
    <w:rPr>
      <w:rFonts w:ascii="Times New Roman" w:eastAsia="DFKai-SB" w:hAnsi="Times New Roman" w:cs="Times New Roman"/>
      <w:sz w:val="24"/>
      <w:szCs w:val="24"/>
    </w:rPr>
  </w:style>
  <w:style w:type="paragraph" w:styleId="Retraitcorpsdetexte3">
    <w:name w:val="Body Text Indent 3"/>
    <w:basedOn w:val="Normal"/>
    <w:link w:val="Retraitcorpsdetexte3Car"/>
    <w:uiPriority w:val="2"/>
    <w:semiHidden/>
    <w:unhideWhenUsed/>
    <w:pPr>
      <w:spacing w:after="120" w:line="360" w:lineRule="auto"/>
      <w:ind w:left="720"/>
    </w:pPr>
    <w:rPr>
      <w:szCs w:val="16"/>
    </w:rPr>
  </w:style>
  <w:style w:type="character" w:customStyle="1" w:styleId="Retraitcorpsdetexte3Car">
    <w:name w:val="Retrait corps de texte 3 Car"/>
    <w:basedOn w:val="Policepardfaut"/>
    <w:link w:val="Retraitcorpsdetexte3"/>
    <w:uiPriority w:val="2"/>
    <w:semiHidden/>
    <w:rPr>
      <w:rFonts w:ascii="Times New Roman" w:eastAsia="DFKai-SB" w:hAnsi="Times New Roman" w:cs="Times New Roman"/>
      <w:sz w:val="24"/>
      <w:szCs w:val="16"/>
    </w:rPr>
  </w:style>
  <w:style w:type="paragraph" w:styleId="Lgende">
    <w:name w:val="caption"/>
    <w:basedOn w:val="Normal"/>
    <w:next w:val="Normal"/>
    <w:uiPriority w:val="35"/>
    <w:semiHidden/>
    <w:unhideWhenUsed/>
    <w:qFormat/>
    <w:rPr>
      <w:b/>
      <w:bCs/>
      <w:sz w:val="18"/>
      <w:szCs w:val="18"/>
    </w:rPr>
  </w:style>
  <w:style w:type="paragraph" w:styleId="Formuledepolitesse">
    <w:name w:val="Closing"/>
    <w:basedOn w:val="Normal"/>
    <w:next w:val="Signature"/>
    <w:link w:val="FormuledepolitesseCar"/>
    <w:uiPriority w:val="99"/>
    <w:semiHidden/>
    <w:unhideWhenUsed/>
    <w:pPr>
      <w:ind w:left="4680"/>
    </w:pPr>
  </w:style>
  <w:style w:type="character" w:customStyle="1" w:styleId="FormuledepolitesseCar">
    <w:name w:val="Formule de politesse Car"/>
    <w:basedOn w:val="Policepardfaut"/>
    <w:link w:val="Formuledepolitesse"/>
    <w:uiPriority w:val="99"/>
    <w:semiHidden/>
    <w:rPr>
      <w:rFonts w:ascii="Times New Roman" w:eastAsia="DFKai-SB" w:hAnsi="Times New Roman" w:cs="Times New Roman"/>
      <w:sz w:val="24"/>
      <w:szCs w:val="24"/>
    </w:rPr>
  </w:style>
  <w:style w:type="paragraph" w:styleId="Signature">
    <w:name w:val="Signature"/>
    <w:basedOn w:val="Normal"/>
    <w:next w:val="Normal"/>
    <w:link w:val="SignatureCar"/>
    <w:uiPriority w:val="3"/>
    <w:qFormat/>
    <w:pPr>
      <w:spacing w:before="720"/>
      <w:ind w:left="4680"/>
    </w:pPr>
  </w:style>
  <w:style w:type="character" w:customStyle="1" w:styleId="SignatureCar">
    <w:name w:val="Signature Car"/>
    <w:basedOn w:val="Policepardfaut"/>
    <w:link w:val="Signature"/>
    <w:uiPriority w:val="3"/>
    <w:rPr>
      <w:rFonts w:ascii="Times New Roman" w:eastAsia="DFKai-SB" w:hAnsi="Times New Roman" w:cs="Times New Roman"/>
      <w:sz w:val="24"/>
      <w:szCs w:val="24"/>
    </w:rPr>
  </w:style>
  <w:style w:type="table" w:styleId="Grillecouleur">
    <w:name w:val="Colorful Grid"/>
    <w:basedOn w:val="TableauNormal"/>
    <w:uiPriority w:val="73"/>
    <w:pPr>
      <w:spacing w:after="0" w:line="240" w:lineRule="auto"/>
    </w:pPr>
    <w:rPr>
      <w:rFonts w:cs="Times New Roman"/>
      <w:color w:val="000000" w:themeColor="text1"/>
      <w:sz w:val="24"/>
      <w:szCs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Date">
    <w:name w:val="Date"/>
    <w:basedOn w:val="Normal"/>
    <w:next w:val="Normal"/>
    <w:link w:val="DateCar"/>
    <w:pPr>
      <w:spacing w:after="240"/>
      <w:jc w:val="right"/>
    </w:pPr>
    <w:rPr>
      <w:b/>
    </w:rPr>
  </w:style>
  <w:style w:type="character" w:customStyle="1" w:styleId="DateCar">
    <w:name w:val="Date Car"/>
    <w:basedOn w:val="Policepardfaut"/>
    <w:link w:val="Date"/>
    <w:rPr>
      <w:rFonts w:ascii="Times New Roman" w:eastAsia="DFKai-SB" w:hAnsi="Times New Roman" w:cs="Times New Roman"/>
      <w:b/>
      <w:sz w:val="24"/>
      <w:szCs w:val="24"/>
    </w:rPr>
  </w:style>
  <w:style w:type="character" w:styleId="Appeldenotedefin">
    <w:name w:val="end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pPr>
      <w:spacing w:after="120"/>
      <w:ind w:firstLine="720"/>
    </w:pPr>
    <w:rPr>
      <w:sz w:val="20"/>
      <w:szCs w:val="20"/>
    </w:rPr>
  </w:style>
  <w:style w:type="character" w:customStyle="1" w:styleId="NotedefinCar">
    <w:name w:val="Note de fin Car"/>
    <w:basedOn w:val="Policepardfaut"/>
    <w:link w:val="Notedefin"/>
    <w:uiPriority w:val="99"/>
    <w:semiHidden/>
    <w:rPr>
      <w:rFonts w:ascii="Times New Roman" w:eastAsia="DFKai-SB" w:hAnsi="Times New Roman" w:cs="Times New Roman"/>
      <w:sz w:val="20"/>
      <w:szCs w:val="20"/>
    </w:rPr>
  </w:style>
  <w:style w:type="paragraph" w:styleId="Pieddepage">
    <w:name w:val="footer"/>
    <w:basedOn w:val="Normal"/>
    <w:link w:val="PieddepageCar"/>
    <w:uiPriority w:val="99"/>
    <w:unhideWhenUsed/>
    <w:pPr>
      <w:tabs>
        <w:tab w:val="center" w:pos="4513"/>
        <w:tab w:val="right" w:pos="9026"/>
      </w:tabs>
    </w:pPr>
  </w:style>
  <w:style w:type="character" w:customStyle="1" w:styleId="PieddepageCar">
    <w:name w:val="Pied de page Car"/>
    <w:basedOn w:val="Policepardfaut"/>
    <w:link w:val="Pieddepage"/>
    <w:uiPriority w:val="99"/>
  </w:style>
  <w:style w:type="paragraph" w:styleId="Notedebasdepage">
    <w:name w:val="footnote text"/>
    <w:basedOn w:val="Normal"/>
    <w:next w:val="Normal"/>
    <w:link w:val="NotedebasdepageCar"/>
    <w:uiPriority w:val="3"/>
    <w:unhideWhenUsed/>
    <w:pPr>
      <w:spacing w:after="120"/>
    </w:pPr>
    <w:rPr>
      <w:sz w:val="20"/>
      <w:szCs w:val="20"/>
    </w:rPr>
  </w:style>
  <w:style w:type="character" w:customStyle="1" w:styleId="NotedebasdepageCar">
    <w:name w:val="Note de bas de page Car"/>
    <w:basedOn w:val="Policepardfaut"/>
    <w:link w:val="Notedebasdepage"/>
    <w:uiPriority w:val="3"/>
    <w:rPr>
      <w:sz w:val="20"/>
      <w:szCs w:val="20"/>
    </w:rPr>
  </w:style>
  <w:style w:type="paragraph" w:customStyle="1" w:styleId="FootnoteContinued">
    <w:name w:val="Footnote Continued"/>
    <w:basedOn w:val="Notedebasdepage"/>
    <w:uiPriority w:val="3"/>
    <w:qFormat/>
  </w:style>
  <w:style w:type="paragraph" w:customStyle="1" w:styleId="FootnoteQuote">
    <w:name w:val="Footnote Quote"/>
    <w:basedOn w:val="Notedebasdepage"/>
    <w:uiPriority w:val="3"/>
    <w:qFormat/>
    <w:pPr>
      <w:ind w:left="1440" w:right="1440"/>
    </w:pPr>
  </w:style>
  <w:style w:type="character" w:styleId="Appelnotedebasdep">
    <w:name w:val="footnote reference"/>
    <w:basedOn w:val="Policepardfaut"/>
    <w:uiPriority w:val="99"/>
    <w:semiHidden/>
    <w:unhideWhenUsed/>
    <w:rPr>
      <w:vertAlign w:val="superscript"/>
    </w:rPr>
  </w:style>
  <w:style w:type="paragraph" w:customStyle="1" w:styleId="FootnoteSeparator">
    <w:name w:val="Footnote Separator"/>
    <w:basedOn w:val="Normal"/>
    <w:uiPriority w:val="19"/>
    <w:semiHidden/>
    <w:rPr>
      <w:sz w:val="20"/>
    </w:rPr>
  </w:style>
  <w:style w:type="paragraph" w:customStyle="1" w:styleId="GraphicC">
    <w:name w:val="GraphicC"/>
    <w:basedOn w:val="Normal"/>
    <w:uiPriority w:val="3"/>
    <w:pPr>
      <w:spacing w:after="240"/>
      <w:jc w:val="center"/>
    </w:pPr>
  </w:style>
  <w:style w:type="paragraph" w:customStyle="1" w:styleId="GraphicL">
    <w:name w:val="GraphicL"/>
    <w:basedOn w:val="Normal"/>
    <w:uiPriority w:val="3"/>
    <w:pPr>
      <w:spacing w:after="240"/>
    </w:pPr>
  </w:style>
  <w:style w:type="paragraph" w:customStyle="1" w:styleId="GraphicR">
    <w:name w:val="GraphicR"/>
    <w:basedOn w:val="Normal"/>
    <w:uiPriority w:val="3"/>
    <w:pPr>
      <w:spacing w:after="240"/>
      <w:jc w:val="right"/>
    </w:pPr>
  </w:style>
  <w:style w:type="paragraph" w:styleId="En-tte">
    <w:name w:val="header"/>
    <w:basedOn w:val="Normal"/>
    <w:link w:val="En-tteCar"/>
    <w:uiPriority w:val="99"/>
    <w:unhideWhenUsed/>
    <w:pPr>
      <w:tabs>
        <w:tab w:val="center" w:pos="4680"/>
        <w:tab w:val="right" w:pos="9360"/>
      </w:tabs>
    </w:pPr>
  </w:style>
  <w:style w:type="character" w:customStyle="1" w:styleId="En-tteCar">
    <w:name w:val="En-tête Car"/>
    <w:basedOn w:val="Policepardfaut"/>
    <w:link w:val="En-tte"/>
    <w:uiPriority w:val="99"/>
    <w:rPr>
      <w:rFonts w:ascii="Times New Roman" w:eastAsia="DFKai-SB" w:hAnsi="Times New Roman" w:cs="Times New Roman"/>
      <w:sz w:val="24"/>
      <w:szCs w:val="24"/>
    </w:rPr>
  </w:style>
  <w:style w:type="character" w:customStyle="1" w:styleId="Titre1Car">
    <w:name w:val="Titre 1 Car"/>
    <w:basedOn w:val="Policepardfaut"/>
    <w:link w:val="Titre1"/>
    <w:uiPriority w:val="9"/>
    <w:rPr>
      <w:rFonts w:ascii="Times New Roman" w:eastAsia="DFKai-SB" w:hAnsi="Times New Roman" w:cstheme="majorBidi"/>
      <w:b/>
      <w:bCs/>
      <w:sz w:val="24"/>
      <w:szCs w:val="28"/>
    </w:rPr>
  </w:style>
  <w:style w:type="character" w:customStyle="1" w:styleId="Titre2Car">
    <w:name w:val="Titre 2 Car"/>
    <w:basedOn w:val="Policepardfaut"/>
    <w:link w:val="Titre2"/>
    <w:uiPriority w:val="9"/>
    <w:semiHidden/>
    <w:rPr>
      <w:rFonts w:ascii="Times New Roman" w:eastAsia="DFKai-SB" w:hAnsi="Times New Roman" w:cstheme="majorBidi"/>
      <w:b/>
      <w:bCs/>
      <w:sz w:val="24"/>
      <w:szCs w:val="26"/>
    </w:rPr>
  </w:style>
  <w:style w:type="character" w:customStyle="1" w:styleId="Titre3Car">
    <w:name w:val="Titre 3 Car"/>
    <w:basedOn w:val="Policepardfaut"/>
    <w:link w:val="Titre3"/>
    <w:uiPriority w:val="9"/>
    <w:semiHidden/>
    <w:rPr>
      <w:rFonts w:ascii="Times New Roman" w:eastAsia="DFKai-SB" w:hAnsi="Times New Roman" w:cstheme="majorBidi"/>
      <w:bCs/>
      <w:sz w:val="24"/>
      <w:szCs w:val="24"/>
    </w:rPr>
  </w:style>
  <w:style w:type="character" w:customStyle="1" w:styleId="Titre4Car">
    <w:name w:val="Titre 4 Car"/>
    <w:basedOn w:val="Policepardfaut"/>
    <w:link w:val="Titre4"/>
    <w:uiPriority w:val="9"/>
    <w:semiHidden/>
    <w:rPr>
      <w:rFonts w:ascii="Times New Roman" w:eastAsia="DFKai-SB" w:hAnsi="Times New Roman" w:cstheme="majorBidi"/>
      <w:bCs/>
      <w:iCs/>
      <w:sz w:val="24"/>
      <w:szCs w:val="24"/>
    </w:rPr>
  </w:style>
  <w:style w:type="character" w:customStyle="1" w:styleId="Titre5Car">
    <w:name w:val="Titre 5 Car"/>
    <w:basedOn w:val="Policepardfaut"/>
    <w:link w:val="Titre5"/>
    <w:uiPriority w:val="9"/>
    <w:semiHidden/>
    <w:rPr>
      <w:rFonts w:ascii="Times New Roman" w:eastAsia="DFKai-SB" w:hAnsi="Times New Roman" w:cstheme="majorBidi"/>
      <w:sz w:val="24"/>
      <w:szCs w:val="24"/>
    </w:rPr>
  </w:style>
  <w:style w:type="character" w:customStyle="1" w:styleId="Titre6Car">
    <w:name w:val="Titre 6 Car"/>
    <w:basedOn w:val="Policepardfaut"/>
    <w:link w:val="Titre6"/>
    <w:uiPriority w:val="9"/>
    <w:semiHidden/>
    <w:rPr>
      <w:rFonts w:ascii="Times New Roman" w:eastAsia="DFKai-SB" w:hAnsi="Times New Roman" w:cstheme="majorBidi"/>
      <w:iCs/>
      <w:sz w:val="24"/>
      <w:szCs w:val="24"/>
    </w:rPr>
  </w:style>
  <w:style w:type="character" w:customStyle="1" w:styleId="Titre7Car">
    <w:name w:val="Titre 7 Car"/>
    <w:basedOn w:val="Policepardfaut"/>
    <w:link w:val="Titre7"/>
    <w:uiPriority w:val="9"/>
    <w:semiHidden/>
    <w:rPr>
      <w:rFonts w:ascii="Times New Roman" w:eastAsia="DFKai-SB" w:hAnsi="Times New Roman" w:cstheme="majorBidi"/>
      <w:iCs/>
      <w:sz w:val="24"/>
      <w:szCs w:val="24"/>
    </w:rPr>
  </w:style>
  <w:style w:type="character" w:customStyle="1" w:styleId="Titre8Car">
    <w:name w:val="Titre 8 Car"/>
    <w:basedOn w:val="Policepardfaut"/>
    <w:link w:val="Titre8"/>
    <w:uiPriority w:val="9"/>
    <w:semiHidden/>
    <w:rPr>
      <w:rFonts w:ascii="Times New Roman" w:eastAsia="DFKai-SB" w:hAnsi="Times New Roman" w:cstheme="majorBidi"/>
      <w:sz w:val="24"/>
      <w:szCs w:val="20"/>
    </w:rPr>
  </w:style>
  <w:style w:type="character" w:customStyle="1" w:styleId="Titre9Car">
    <w:name w:val="Titre 9 Car"/>
    <w:basedOn w:val="Policepardfaut"/>
    <w:link w:val="Titre9"/>
    <w:uiPriority w:val="9"/>
    <w:semiHidden/>
    <w:rPr>
      <w:rFonts w:ascii="Times New Roman" w:eastAsia="DFKai-SB" w:hAnsi="Times New Roman" w:cstheme="majorBidi"/>
      <w:iCs/>
      <w:sz w:val="24"/>
      <w:szCs w:val="20"/>
    </w:rPr>
  </w:style>
  <w:style w:type="paragraph" w:customStyle="1" w:styleId="NoticeBlock">
    <w:name w:val="Notice Block"/>
    <w:basedOn w:val="Normal"/>
    <w:uiPriority w:val="3"/>
    <w:pPr>
      <w:keepLines/>
      <w:spacing w:after="240"/>
      <w:ind w:left="720" w:hanging="720"/>
    </w:pPr>
  </w:style>
  <w:style w:type="paragraph" w:customStyle="1" w:styleId="NoticeBlockIndent1">
    <w:name w:val="Notice Block Indent 1"/>
    <w:basedOn w:val="Normal"/>
    <w:uiPriority w:val="3"/>
    <w:pPr>
      <w:keepLines/>
      <w:spacing w:after="240"/>
      <w:ind w:left="1440" w:hanging="720"/>
    </w:pPr>
  </w:style>
  <w:style w:type="paragraph" w:styleId="Citation">
    <w:name w:val="Quote"/>
    <w:basedOn w:val="Normal"/>
    <w:link w:val="CitationCar"/>
    <w:qFormat/>
    <w:pPr>
      <w:spacing w:after="240"/>
      <w:ind w:left="1440" w:right="1440"/>
    </w:pPr>
    <w:rPr>
      <w:iCs/>
    </w:rPr>
  </w:style>
  <w:style w:type="character" w:customStyle="1" w:styleId="CitationCar">
    <w:name w:val="Citation Car"/>
    <w:basedOn w:val="Policepardfaut"/>
    <w:link w:val="Citation"/>
    <w:rPr>
      <w:rFonts w:ascii="Times New Roman" w:eastAsia="DFKai-SB" w:hAnsi="Times New Roman" w:cs="Times New Roman"/>
      <w:iCs/>
      <w:sz w:val="24"/>
      <w:szCs w:val="24"/>
    </w:rPr>
  </w:style>
  <w:style w:type="paragraph" w:styleId="Salutations">
    <w:name w:val="Salutation"/>
    <w:basedOn w:val="Normal"/>
    <w:next w:val="Corpsdetexte"/>
    <w:link w:val="SalutationsCar"/>
    <w:uiPriority w:val="99"/>
    <w:semiHidden/>
    <w:unhideWhenUsed/>
    <w:pPr>
      <w:spacing w:after="240"/>
    </w:pPr>
  </w:style>
  <w:style w:type="character" w:customStyle="1" w:styleId="SalutationsCar">
    <w:name w:val="Salutations Car"/>
    <w:basedOn w:val="Policepardfaut"/>
    <w:link w:val="Salutations"/>
    <w:uiPriority w:val="99"/>
    <w:semiHidden/>
    <w:rPr>
      <w:rFonts w:ascii="Times New Roman" w:eastAsia="DFKai-SB" w:hAnsi="Times New Roman" w:cs="Times New Roman"/>
      <w:sz w:val="24"/>
      <w:szCs w:val="24"/>
    </w:rPr>
  </w:style>
  <w:style w:type="paragraph" w:customStyle="1" w:styleId="SignatureByLine">
    <w:name w:val="Signature ByLine"/>
    <w:basedOn w:val="Signature"/>
    <w:uiPriority w:val="3"/>
    <w:qFormat/>
    <w:pPr>
      <w:tabs>
        <w:tab w:val="left" w:leader="underscore" w:pos="9360"/>
      </w:tabs>
    </w:pPr>
  </w:style>
  <w:style w:type="paragraph" w:styleId="Sous-titre">
    <w:name w:val="Subtitle"/>
    <w:basedOn w:val="Normal"/>
    <w:next w:val="Retrait1religne"/>
    <w:link w:val="Sous-titreCar"/>
    <w:qFormat/>
    <w:pPr>
      <w:keepNext/>
      <w:numPr>
        <w:ilvl w:val="1"/>
      </w:numPr>
      <w:spacing w:after="240"/>
      <w:contextualSpacing/>
      <w:jc w:val="center"/>
    </w:pPr>
    <w:rPr>
      <w:b/>
      <w:iCs/>
    </w:rPr>
  </w:style>
  <w:style w:type="character" w:customStyle="1" w:styleId="Sous-titreCar">
    <w:name w:val="Sous-titre Car"/>
    <w:basedOn w:val="Policepardfaut"/>
    <w:link w:val="Sous-titre"/>
    <w:rPr>
      <w:rFonts w:ascii="Times New Roman" w:eastAsia="DFKai-SB" w:hAnsi="Times New Roman" w:cs="Times New Roman"/>
      <w:b/>
      <w:iCs/>
      <w:sz w:val="24"/>
      <w:szCs w:val="24"/>
    </w:rPr>
  </w:style>
  <w:style w:type="paragraph" w:customStyle="1" w:styleId="SubtitleLeft">
    <w:name w:val="Subtitle Left"/>
    <w:basedOn w:val="Normal"/>
    <w:next w:val="Retrait1religne"/>
    <w:qFormat/>
    <w:pPr>
      <w:keepNext/>
      <w:spacing w:after="240"/>
      <w:contextualSpacing/>
    </w:pPr>
    <w:rPr>
      <w:b/>
    </w:rPr>
  </w:style>
  <w:style w:type="table" w:styleId="Grilledutableau">
    <w:name w:val="Table Grid"/>
    <w:basedOn w:val="TableauNormal"/>
    <w:uiPriority w:val="59"/>
    <w:pPr>
      <w:spacing w:after="0" w:line="240" w:lineRule="auto"/>
    </w:pPr>
    <w:rPr>
      <w:rFonts w:cs="Times New Roman"/>
      <w:sz w:val="24"/>
      <w:szCs w:val="24"/>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re">
    <w:name w:val="Title"/>
    <w:basedOn w:val="Normal"/>
    <w:next w:val="Retrait1religne"/>
    <w:link w:val="TitreCar"/>
    <w:qFormat/>
    <w:pPr>
      <w:keepNext/>
      <w:spacing w:after="240"/>
      <w:contextualSpacing/>
      <w:jc w:val="center"/>
    </w:pPr>
    <w:rPr>
      <w:b/>
      <w:caps/>
      <w:szCs w:val="52"/>
    </w:rPr>
  </w:style>
  <w:style w:type="character" w:customStyle="1" w:styleId="TitreCar">
    <w:name w:val="Titre Car"/>
    <w:basedOn w:val="Policepardfaut"/>
    <w:link w:val="Titre"/>
    <w:rPr>
      <w:rFonts w:ascii="Times New Roman" w:eastAsia="DFKai-SB" w:hAnsi="Times New Roman" w:cs="Times New Roman"/>
      <w:b/>
      <w:caps/>
      <w:sz w:val="24"/>
      <w:szCs w:val="52"/>
    </w:rPr>
  </w:style>
  <w:style w:type="paragraph" w:customStyle="1" w:styleId="TitleLeft">
    <w:name w:val="Title Left"/>
    <w:basedOn w:val="Normal"/>
    <w:next w:val="Retrait1religne"/>
    <w:qFormat/>
    <w:pPr>
      <w:spacing w:after="240"/>
      <w:contextualSpacing/>
    </w:pPr>
    <w:rPr>
      <w:b/>
      <w:caps/>
    </w:rPr>
  </w:style>
  <w:style w:type="paragraph" w:styleId="TitreTR">
    <w:name w:val="toa heading"/>
    <w:basedOn w:val="Normal"/>
    <w:next w:val="Normal"/>
    <w:uiPriority w:val="99"/>
    <w:semiHidden/>
    <w:unhideWhenUsed/>
    <w:pPr>
      <w:spacing w:after="240"/>
      <w:jc w:val="center"/>
    </w:pPr>
    <w:rPr>
      <w:bCs/>
    </w:rPr>
  </w:style>
  <w:style w:type="paragraph" w:styleId="En-ttedetabledesmatires">
    <w:name w:val="TOC Heading"/>
    <w:basedOn w:val="Normal"/>
    <w:next w:val="Normal"/>
    <w:uiPriority w:val="39"/>
    <w:semiHidden/>
    <w:unhideWhenUsed/>
    <w:qFormat/>
    <w:pPr>
      <w:spacing w:after="240"/>
      <w:jc w:val="center"/>
    </w:pPr>
    <w:rPr>
      <w:b/>
      <w:caps/>
    </w:rPr>
  </w:style>
  <w:style w:type="character" w:customStyle="1" w:styleId="zzmpTrailerItem">
    <w:name w:val="zzmpTrailerItem"/>
    <w:basedOn w:val="Policepardfaut"/>
    <w:rPr>
      <w:rFonts w:ascii="Times New Roman" w:hAnsi="Times New Roman" w:cs="Times New Roman"/>
      <w:dstrike w:val="0"/>
      <w:noProof/>
      <w:color w:val="auto"/>
      <w:spacing w:val="0"/>
      <w:position w:val="0"/>
      <w:sz w:val="16"/>
      <w:szCs w:val="16"/>
      <w:u w:val="none"/>
      <w:effect w:val="none"/>
      <w:vertAlign w:val="baseline"/>
    </w:rPr>
  </w:style>
  <w:style w:type="paragraph" w:styleId="Rvision">
    <w:name w:val="Revision"/>
    <w:hidden/>
    <w:uiPriority w:val="99"/>
    <w:semiHidden/>
    <w:pPr>
      <w:spacing w:after="0" w:line="240" w:lineRule="auto"/>
    </w:pPr>
    <w:rPr>
      <w:rFonts w:eastAsiaTheme="minorEastAsia"/>
      <w:lang w:val="fr-FR" w:eastAsia="fr-FR"/>
    </w:rPr>
  </w:style>
  <w:style w:type="paragraph" w:customStyle="1" w:styleId="FBFCont1">
    <w:name w:val="FBF Cont 1"/>
    <w:basedOn w:val="Normal"/>
    <w:next w:val="Corpsdetexte"/>
    <w:link w:val="FBFCont1Char"/>
    <w:pPr>
      <w:keepNext/>
      <w:tabs>
        <w:tab w:val="left" w:pos="1134"/>
      </w:tabs>
      <w:spacing w:after="240" w:line="240" w:lineRule="auto"/>
      <w:ind w:left="1843"/>
      <w:jc w:val="both"/>
    </w:pPr>
    <w:rPr>
      <w:rFonts w:eastAsia="SimSun" w:cs="Times New Roman"/>
      <w:szCs w:val="24"/>
    </w:rPr>
  </w:style>
  <w:style w:type="character" w:customStyle="1" w:styleId="FBFCont1Char">
    <w:name w:val="FBF Cont 1 Char"/>
    <w:basedOn w:val="Policepardfaut"/>
    <w:link w:val="FBFCont1"/>
    <w:rPr>
      <w:rFonts w:ascii="Times New Roman" w:eastAsia="SimSun" w:hAnsi="Times New Roman" w:cs="Times New Roman"/>
      <w:szCs w:val="24"/>
    </w:rPr>
  </w:style>
  <w:style w:type="paragraph" w:customStyle="1" w:styleId="FBFL1">
    <w:name w:val="FBF_L1"/>
    <w:basedOn w:val="Normal"/>
    <w:next w:val="Corpsdetexte"/>
    <w:link w:val="FBFL1Char"/>
    <w:pPr>
      <w:keepNext/>
      <w:numPr>
        <w:numId w:val="1"/>
      </w:numPr>
      <w:spacing w:after="240" w:line="240" w:lineRule="auto"/>
      <w:ind w:left="1843"/>
      <w:jc w:val="both"/>
      <w:outlineLvl w:val="0"/>
    </w:pPr>
    <w:rPr>
      <w:rFonts w:eastAsia="SimSun" w:cs="Times New Roman"/>
      <w:b/>
      <w:caps/>
      <w:szCs w:val="20"/>
      <w:u w:val="single"/>
    </w:rPr>
  </w:style>
  <w:style w:type="character" w:customStyle="1" w:styleId="FBFL1Char">
    <w:name w:val="FBF_L1 Char"/>
    <w:basedOn w:val="Policepardfaut"/>
    <w:link w:val="FBFL1"/>
    <w:rPr>
      <w:rFonts w:ascii="Times New Roman" w:eastAsia="SimSun" w:hAnsi="Times New Roman" w:cs="Times New Roman"/>
      <w:b/>
      <w:caps/>
      <w:szCs w:val="20"/>
      <w:u w:val="single"/>
    </w:rPr>
  </w:style>
  <w:style w:type="paragraph" w:customStyle="1" w:styleId="FBFL2">
    <w:name w:val="FBF_L2"/>
    <w:basedOn w:val="Normal"/>
    <w:next w:val="Corpsdetexte"/>
    <w:link w:val="FBFL2Char"/>
    <w:pPr>
      <w:keepNext/>
      <w:numPr>
        <w:ilvl w:val="1"/>
        <w:numId w:val="1"/>
      </w:numPr>
      <w:spacing w:after="240" w:line="240" w:lineRule="auto"/>
      <w:jc w:val="both"/>
      <w:outlineLvl w:val="1"/>
    </w:pPr>
    <w:rPr>
      <w:rFonts w:eastAsia="SimSun" w:cs="Times New Roman"/>
      <w:szCs w:val="20"/>
    </w:rPr>
  </w:style>
  <w:style w:type="character" w:customStyle="1" w:styleId="FBFL2Char">
    <w:name w:val="FBF_L2 Char"/>
    <w:basedOn w:val="Policepardfaut"/>
    <w:link w:val="FBFL2"/>
    <w:rPr>
      <w:rFonts w:ascii="Times New Roman" w:eastAsia="SimSun" w:hAnsi="Times New Roman" w:cs="Times New Roman"/>
      <w:szCs w:val="20"/>
    </w:rPr>
  </w:style>
  <w:style w:type="paragraph" w:customStyle="1" w:styleId="FBFL3">
    <w:name w:val="FBF_L3"/>
    <w:basedOn w:val="Normal"/>
    <w:next w:val="Corpsdetexte"/>
    <w:link w:val="FBFL3Char"/>
    <w:pPr>
      <w:numPr>
        <w:ilvl w:val="2"/>
        <w:numId w:val="1"/>
      </w:numPr>
      <w:spacing w:after="240" w:line="240" w:lineRule="auto"/>
      <w:jc w:val="both"/>
      <w:outlineLvl w:val="2"/>
    </w:pPr>
    <w:rPr>
      <w:rFonts w:eastAsia="SimSun" w:cs="Times New Roman"/>
      <w:szCs w:val="20"/>
    </w:rPr>
  </w:style>
  <w:style w:type="character" w:customStyle="1" w:styleId="FBFL3Char">
    <w:name w:val="FBF_L3 Char"/>
    <w:basedOn w:val="Policepardfaut"/>
    <w:link w:val="FBFL3"/>
    <w:rPr>
      <w:rFonts w:ascii="Times New Roman" w:eastAsia="SimSun" w:hAnsi="Times New Roman" w:cs="Times New Roman"/>
      <w:szCs w:val="20"/>
    </w:rPr>
  </w:style>
  <w:style w:type="paragraph" w:customStyle="1" w:styleId="FBFL4">
    <w:name w:val="FBF_L4"/>
    <w:basedOn w:val="Normal"/>
    <w:next w:val="Corpsdetexte"/>
    <w:link w:val="FBFL4Char"/>
    <w:pPr>
      <w:numPr>
        <w:ilvl w:val="3"/>
        <w:numId w:val="1"/>
      </w:numPr>
      <w:spacing w:after="240" w:line="240" w:lineRule="auto"/>
      <w:jc w:val="both"/>
      <w:outlineLvl w:val="3"/>
    </w:pPr>
    <w:rPr>
      <w:rFonts w:eastAsia="SimSun" w:cs="Times New Roman"/>
      <w:szCs w:val="20"/>
    </w:rPr>
  </w:style>
  <w:style w:type="character" w:customStyle="1" w:styleId="FBFL4Char">
    <w:name w:val="FBF_L4 Char"/>
    <w:basedOn w:val="Policepardfaut"/>
    <w:link w:val="FBFL4"/>
    <w:rPr>
      <w:rFonts w:ascii="Times New Roman" w:eastAsia="SimSun" w:hAnsi="Times New Roman" w:cs="Times New Roman"/>
      <w:szCs w:val="20"/>
    </w:rPr>
  </w:style>
  <w:style w:type="character" w:styleId="Numrodepage">
    <w:name w:val="page number"/>
    <w:basedOn w:val="Policepardfaut"/>
    <w:uiPriority w:val="99"/>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1772</Words>
  <Characters>9748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Genty, Guillemette</dc:creator>
  <cp:keywords>
  </cp:keywords>
  <dc:description>
  </dc:description>
  <cp:lastModifiedBy>Genty, Guillemette</cp:lastModifiedBy>
  <cp:revision>2</cp:revision>
  <dcterms:created xsi:type="dcterms:W3CDTF">2021-09-28T10:00:00Z</dcterms:created>
  <dcterms:modified xsi:type="dcterms:W3CDTF">2021-09-28T10:00:00Z</dcterms:modified>
</cp:coreProperties>
</file>