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BFL1"/>
        <w:rPr>
          <w:u w:val="none"/>
          <w:lang w:val="fr-FR"/>
        </w:rPr>
      </w:pPr>
      <w:r>
        <w:rPr>
          <w:lang w:val="fr-FR"/>
        </w:rPr>
        <w:t>ISDA Benchmarks Supplement</w:t>
      </w:r>
    </w:p>
    <w:p>
      <w:pPr>
        <w:pStyle w:val="FBFCont1"/>
        <w:rPr>
          <w:lang w:val="fr-FR"/>
        </w:rPr>
      </w:pPr>
      <w:r>
        <w:rPr>
          <w:lang w:val="fr-FR"/>
        </w:rPr>
        <w:t>L’</w:t>
      </w:r>
      <w:proofErr w:type="spellStart"/>
      <w:r>
        <w:rPr>
          <w:i/>
          <w:lang w:val="fr-FR"/>
        </w:rPr>
        <w:t>ISDA</w:t>
      </w:r>
      <w:proofErr w:type="spellEnd"/>
      <w:r>
        <w:rPr>
          <w:i/>
          <w:lang w:val="fr-FR"/>
        </w:rPr>
        <w:t xml:space="preserve"> Benchmarks </w:t>
      </w:r>
      <w:proofErr w:type="spellStart"/>
      <w:r>
        <w:rPr>
          <w:i/>
          <w:lang w:val="fr-FR"/>
        </w:rPr>
        <w:t>Supplement</w:t>
      </w:r>
      <w:proofErr w:type="spellEnd"/>
      <w:r>
        <w:rPr>
          <w:lang w:val="fr-FR"/>
        </w:rPr>
        <w:t xml:space="preserve"> 2018 publié par l'</w:t>
      </w:r>
      <w:proofErr w:type="spellStart"/>
      <w:r>
        <w:rPr>
          <w:lang w:val="fr-FR"/>
        </w:rPr>
        <w:t>ISDA</w:t>
      </w:r>
      <w:proofErr w:type="spellEnd"/>
      <w:r>
        <w:rPr>
          <w:lang w:val="fr-FR"/>
        </w:rPr>
        <w:t>®</w:t>
      </w:r>
      <w:r>
        <w:rPr>
          <w:rStyle w:val="FootnoteReference"/>
          <w:lang w:val="fr-FR"/>
        </w:rPr>
        <w:footnoteReference w:id="1"/>
      </w:r>
      <w:r>
        <w:rPr>
          <w:lang w:val="fr-FR"/>
        </w:rPr>
        <w:t>, tel que modifié le cas échéant, (l’"</w:t>
      </w:r>
      <w:proofErr w:type="spellStart"/>
      <w:r>
        <w:rPr>
          <w:b/>
          <w:lang w:val="fr-FR"/>
        </w:rPr>
        <w:t>ISDA</w:t>
      </w:r>
      <w:proofErr w:type="spellEnd"/>
      <w:r>
        <w:rPr>
          <w:b/>
          <w:lang w:val="fr-FR"/>
        </w:rPr>
        <w:t xml:space="preserve"> Benchmarks </w:t>
      </w:r>
      <w:proofErr w:type="spellStart"/>
      <w:r>
        <w:rPr>
          <w:b/>
          <w:lang w:val="fr-FR"/>
        </w:rPr>
        <w:t>Supplement</w:t>
      </w:r>
      <w:proofErr w:type="spellEnd"/>
      <w:r>
        <w:rPr>
          <w:lang w:val="fr-FR"/>
        </w:rPr>
        <w:t>") est, par les présentes, intégré par référence dans la [Convention/Confirmation]</w:t>
      </w:r>
      <w:r>
        <w:rPr>
          <w:rStyle w:val="FootnoteReference"/>
          <w:lang w:val="fr-FR"/>
        </w:rPr>
        <w:footnoteReference w:id="2"/>
      </w:r>
      <w:r>
        <w:rPr>
          <w:lang w:val="fr-FR"/>
        </w:rPr>
        <w:t xml:space="preserve"> et en fait partie intégrante, sous réserve des modifications indiquées ci-dessous.</w:t>
      </w:r>
    </w:p>
    <w:p>
      <w:pPr>
        <w:pStyle w:val="BodyText"/>
        <w:ind w:left="1134"/>
        <w:jc w:val="both"/>
        <w:rPr>
          <w:sz w:val="22"/>
          <w:szCs w:val="22"/>
          <w:lang w:val="fr-FR"/>
        </w:rPr>
      </w:pPr>
      <w:r>
        <w:rPr>
          <w:sz w:val="22"/>
          <w:szCs w:val="22"/>
          <w:lang w:val="fr-FR"/>
        </w:rPr>
        <w:t>Si [, à l'égard d'une ou de plusieurs Transaction(s),]</w:t>
      </w:r>
      <w:r>
        <w:rPr>
          <w:rStyle w:val="FootnoteReference"/>
          <w:sz w:val="22"/>
          <w:szCs w:val="22"/>
          <w:lang w:val="fr-FR"/>
        </w:rPr>
        <w:footnoteReference w:id="3"/>
      </w:r>
      <w:r>
        <w:rPr>
          <w:sz w:val="22"/>
          <w:szCs w:val="22"/>
          <w:lang w:val="fr-FR"/>
        </w:rPr>
        <w:t>/[dans la Confirmation,]</w:t>
      </w:r>
      <w:r>
        <w:rPr>
          <w:rStyle w:val="FootnoteReference"/>
          <w:sz w:val="22"/>
          <w:szCs w:val="22"/>
          <w:lang w:val="fr-FR"/>
        </w:rPr>
        <w:footnoteReference w:id="4"/>
      </w:r>
      <w:r>
        <w:rPr>
          <w:sz w:val="22"/>
          <w:szCs w:val="22"/>
          <w:lang w:val="fr-FR"/>
        </w:rPr>
        <w:t xml:space="preserve"> les Parties ont incorporé les </w:t>
      </w:r>
      <w:r>
        <w:rPr>
          <w:i/>
          <w:sz w:val="22"/>
          <w:szCs w:val="22"/>
          <w:lang w:val="fr-FR"/>
        </w:rPr>
        <w:t xml:space="preserve">2006 </w:t>
      </w:r>
      <w:proofErr w:type="spellStart"/>
      <w:r>
        <w:rPr>
          <w:i/>
          <w:sz w:val="22"/>
          <w:szCs w:val="22"/>
          <w:lang w:val="fr-FR"/>
        </w:rPr>
        <w:t>ISDA</w:t>
      </w:r>
      <w:proofErr w:type="spellEnd"/>
      <w:r>
        <w:rPr>
          <w:i/>
          <w:sz w:val="22"/>
          <w:szCs w:val="22"/>
          <w:lang w:val="fr-FR"/>
        </w:rPr>
        <w:t xml:space="preserve"> </w:t>
      </w:r>
      <w:proofErr w:type="spellStart"/>
      <w:r>
        <w:rPr>
          <w:i/>
          <w:sz w:val="22"/>
          <w:szCs w:val="22"/>
          <w:lang w:val="fr-FR"/>
        </w:rPr>
        <w:t>Definitions</w:t>
      </w:r>
      <w:proofErr w:type="spellEnd"/>
      <w:r>
        <w:rPr>
          <w:sz w:val="22"/>
          <w:szCs w:val="22"/>
          <w:lang w:val="fr-FR"/>
        </w:rPr>
        <w:t xml:space="preserve">, les </w:t>
      </w:r>
      <w:r>
        <w:rPr>
          <w:i/>
          <w:sz w:val="22"/>
          <w:szCs w:val="22"/>
          <w:lang w:val="fr-FR"/>
        </w:rPr>
        <w:t xml:space="preserve">2002 </w:t>
      </w:r>
      <w:proofErr w:type="spellStart"/>
      <w:r>
        <w:rPr>
          <w:i/>
          <w:sz w:val="22"/>
          <w:szCs w:val="22"/>
          <w:lang w:val="fr-FR"/>
        </w:rPr>
        <w:t>Equity</w:t>
      </w:r>
      <w:proofErr w:type="spellEnd"/>
      <w:r>
        <w:rPr>
          <w:i/>
          <w:sz w:val="22"/>
          <w:szCs w:val="22"/>
          <w:lang w:val="fr-FR"/>
        </w:rPr>
        <w:t xml:space="preserve"> </w:t>
      </w:r>
      <w:bookmarkStart w:name="_GoBack" w:id="0"/>
      <w:bookmarkEnd w:id="0"/>
      <w:proofErr w:type="spellStart"/>
      <w:r>
        <w:rPr>
          <w:i/>
          <w:sz w:val="22"/>
          <w:szCs w:val="22"/>
          <w:lang w:val="fr-FR"/>
        </w:rPr>
        <w:t>Definitions</w:t>
      </w:r>
      <w:proofErr w:type="spellEnd"/>
      <w:r>
        <w:rPr>
          <w:sz w:val="22"/>
          <w:szCs w:val="22"/>
          <w:lang w:val="fr-FR"/>
        </w:rPr>
        <w:t xml:space="preserve">, les </w:t>
      </w:r>
      <w:r>
        <w:rPr>
          <w:i/>
          <w:sz w:val="22"/>
          <w:szCs w:val="22"/>
          <w:lang w:val="fr-FR"/>
        </w:rPr>
        <w:t xml:space="preserve">1998 FX </w:t>
      </w:r>
      <w:proofErr w:type="spellStart"/>
      <w:r>
        <w:rPr>
          <w:i/>
          <w:sz w:val="22"/>
          <w:szCs w:val="22"/>
          <w:lang w:val="fr-FR"/>
        </w:rPr>
        <w:t>Definitions</w:t>
      </w:r>
      <w:proofErr w:type="spellEnd"/>
      <w:r>
        <w:rPr>
          <w:sz w:val="22"/>
          <w:szCs w:val="22"/>
          <w:lang w:val="fr-FR"/>
        </w:rPr>
        <w:t xml:space="preserve"> et/ou les </w:t>
      </w:r>
      <w:r>
        <w:rPr>
          <w:i/>
          <w:sz w:val="22"/>
          <w:szCs w:val="22"/>
          <w:lang w:val="fr-FR"/>
        </w:rPr>
        <w:t>2005</w:t>
      </w:r>
      <w:r>
        <w:rPr>
          <w:sz w:val="22"/>
          <w:szCs w:val="22"/>
          <w:lang w:val="fr-FR"/>
        </w:rPr>
        <w:t xml:space="preserve"> </w:t>
      </w:r>
      <w:proofErr w:type="spellStart"/>
      <w:r>
        <w:rPr>
          <w:i/>
          <w:sz w:val="22"/>
          <w:szCs w:val="22"/>
          <w:lang w:val="fr-FR"/>
        </w:rPr>
        <w:t>ISDA</w:t>
      </w:r>
      <w:proofErr w:type="spellEnd"/>
      <w:r>
        <w:rPr>
          <w:i/>
          <w:sz w:val="22"/>
          <w:szCs w:val="22"/>
          <w:lang w:val="fr-FR"/>
        </w:rPr>
        <w:t xml:space="preserve"> </w:t>
      </w:r>
      <w:proofErr w:type="spellStart"/>
      <w:r>
        <w:rPr>
          <w:i/>
          <w:sz w:val="22"/>
          <w:szCs w:val="22"/>
          <w:lang w:val="fr-FR"/>
        </w:rPr>
        <w:t>Commodity</w:t>
      </w:r>
      <w:proofErr w:type="spellEnd"/>
      <w:r>
        <w:rPr>
          <w:i/>
          <w:sz w:val="22"/>
          <w:szCs w:val="22"/>
          <w:lang w:val="fr-FR"/>
        </w:rPr>
        <w:t xml:space="preserve"> </w:t>
      </w:r>
      <w:proofErr w:type="spellStart"/>
      <w:r>
        <w:rPr>
          <w:i/>
          <w:sz w:val="22"/>
          <w:szCs w:val="22"/>
          <w:lang w:val="fr-FR"/>
        </w:rPr>
        <w:t>Definitions</w:t>
      </w:r>
      <w:proofErr w:type="spellEnd"/>
      <w:r>
        <w:rPr>
          <w:sz w:val="22"/>
          <w:szCs w:val="22"/>
          <w:lang w:val="fr-FR"/>
        </w:rPr>
        <w:t xml:space="preserve"> (ensemble, les "</w:t>
      </w:r>
      <w:r>
        <w:rPr>
          <w:b/>
          <w:sz w:val="22"/>
          <w:szCs w:val="22"/>
          <w:lang w:val="fr-FR"/>
        </w:rPr>
        <w:t>Définitions ISDA</w:t>
      </w:r>
      <w:r>
        <w:rPr>
          <w:sz w:val="22"/>
          <w:szCs w:val="22"/>
          <w:lang w:val="fr-FR"/>
        </w:rPr>
        <w:t>"), telles que modifiées ou complétées le cas échéant, les stipulations du présent Article [X] s'appliquent pour les besoins de la ou des Transactions concernées ou, le cas échéant, de la partie de la Transaction pour laquelle les Définitions ISDA concernées sont applicables.</w:t>
      </w:r>
    </w:p>
    <w:p>
      <w:pPr>
        <w:pStyle w:val="BodyText"/>
        <w:ind w:left="1134"/>
        <w:jc w:val="both"/>
        <w:rPr>
          <w:sz w:val="22"/>
          <w:szCs w:val="22"/>
          <w:lang w:val="fr-FR"/>
        </w:rPr>
      </w:pPr>
      <w:r>
        <w:rPr>
          <w:sz w:val="22"/>
          <w:szCs w:val="22"/>
          <w:lang w:val="fr-FR"/>
        </w:rPr>
        <w:t xml:space="preserve">[Si les Parties ont adhéré au </w:t>
      </w:r>
      <w:proofErr w:type="spellStart"/>
      <w:r>
        <w:rPr>
          <w:i/>
          <w:sz w:val="22"/>
          <w:szCs w:val="22"/>
          <w:lang w:val="fr-FR"/>
        </w:rPr>
        <w:t>ISDA</w:t>
      </w:r>
      <w:proofErr w:type="spellEnd"/>
      <w:r>
        <w:rPr>
          <w:i/>
          <w:sz w:val="22"/>
          <w:szCs w:val="22"/>
          <w:lang w:val="fr-FR"/>
        </w:rPr>
        <w:t xml:space="preserve"> 2018 Benchmarks </w:t>
      </w:r>
      <w:proofErr w:type="spellStart"/>
      <w:r>
        <w:rPr>
          <w:i/>
          <w:sz w:val="22"/>
          <w:szCs w:val="22"/>
          <w:lang w:val="fr-FR"/>
        </w:rPr>
        <w:t>Supplement</w:t>
      </w:r>
      <w:proofErr w:type="spellEnd"/>
      <w:r>
        <w:rPr>
          <w:i/>
          <w:sz w:val="22"/>
          <w:szCs w:val="22"/>
          <w:lang w:val="fr-FR"/>
        </w:rPr>
        <w:t xml:space="preserve"> Protocol</w:t>
      </w:r>
      <w:r>
        <w:rPr>
          <w:sz w:val="22"/>
          <w:szCs w:val="22"/>
          <w:lang w:val="fr-FR"/>
        </w:rPr>
        <w:t xml:space="preserve"> (le "</w:t>
      </w:r>
      <w:r>
        <w:rPr>
          <w:b/>
          <w:sz w:val="22"/>
          <w:szCs w:val="22"/>
          <w:lang w:val="fr-FR"/>
        </w:rPr>
        <w:t>Protocole</w:t>
      </w:r>
      <w:r>
        <w:rPr>
          <w:sz w:val="22"/>
          <w:szCs w:val="22"/>
          <w:lang w:val="fr-FR"/>
        </w:rPr>
        <w:t>") et ont échangé des questionnaires afin d'incorporer l’</w:t>
      </w:r>
      <w:proofErr w:type="spellStart"/>
      <w:r>
        <w:rPr>
          <w:sz w:val="22"/>
          <w:szCs w:val="22"/>
          <w:lang w:val="fr-FR"/>
        </w:rPr>
        <w:t>ISDA</w:t>
      </w:r>
      <w:proofErr w:type="spellEnd"/>
      <w:r>
        <w:rPr>
          <w:sz w:val="22"/>
          <w:szCs w:val="22"/>
          <w:lang w:val="fr-FR"/>
        </w:rPr>
        <w:t xml:space="preserve"> Benchmarks </w:t>
      </w:r>
      <w:proofErr w:type="spellStart"/>
      <w:r>
        <w:rPr>
          <w:sz w:val="22"/>
          <w:szCs w:val="22"/>
          <w:lang w:val="fr-FR"/>
        </w:rPr>
        <w:t>Supplement</w:t>
      </w:r>
      <w:proofErr w:type="spellEnd"/>
      <w:r>
        <w:rPr>
          <w:sz w:val="22"/>
          <w:szCs w:val="22"/>
          <w:lang w:val="fr-FR"/>
        </w:rPr>
        <w:t xml:space="preserve"> dans une ou plusieurs Confirmations, nonobstant toute stipulation contraire du Protocole, le Protocole ne s'appliquera pas à la ou aux Transactions concernées et les stipulations du présent Article [X] prévaudront pour lesdites Transactions.]</w:t>
      </w:r>
    </w:p>
    <w:p>
      <w:pPr>
        <w:pStyle w:val="BodyText"/>
        <w:ind w:left="1134"/>
        <w:jc w:val="both"/>
        <w:rPr>
          <w:sz w:val="22"/>
          <w:szCs w:val="22"/>
          <w:lang w:val="fr-FR"/>
        </w:rPr>
      </w:pPr>
      <w:r>
        <w:rPr>
          <w:sz w:val="22"/>
          <w:szCs w:val="22"/>
          <w:lang w:val="fr-FR"/>
        </w:rPr>
        <w:t>Chaque Partie déclare et atteste à l'autre Partie (i) être en possession d'une copie de l'</w:t>
      </w:r>
      <w:proofErr w:type="spellStart"/>
      <w:r>
        <w:rPr>
          <w:sz w:val="22"/>
          <w:szCs w:val="22"/>
          <w:lang w:val="fr-FR"/>
        </w:rPr>
        <w:t>ISDA</w:t>
      </w:r>
      <w:proofErr w:type="spellEnd"/>
      <w:r>
        <w:rPr>
          <w:sz w:val="22"/>
          <w:szCs w:val="22"/>
          <w:lang w:val="fr-FR"/>
        </w:rPr>
        <w:t xml:space="preserve"> Benchmarks </w:t>
      </w:r>
      <w:proofErr w:type="spellStart"/>
      <w:r>
        <w:rPr>
          <w:sz w:val="22"/>
          <w:szCs w:val="22"/>
          <w:lang w:val="fr-FR"/>
        </w:rPr>
        <w:t>Supplement</w:t>
      </w:r>
      <w:proofErr w:type="spellEnd"/>
      <w:r>
        <w:rPr>
          <w:sz w:val="22"/>
          <w:szCs w:val="22"/>
          <w:lang w:val="fr-FR"/>
        </w:rPr>
        <w:t>, (ii) avoir pris connaissance de l'ensemble des termes et conditions de l'</w:t>
      </w:r>
      <w:proofErr w:type="spellStart"/>
      <w:r>
        <w:rPr>
          <w:sz w:val="22"/>
          <w:szCs w:val="22"/>
          <w:lang w:val="fr-FR"/>
        </w:rPr>
        <w:t>ISDA</w:t>
      </w:r>
      <w:proofErr w:type="spellEnd"/>
      <w:r>
        <w:rPr>
          <w:sz w:val="22"/>
          <w:szCs w:val="22"/>
          <w:lang w:val="fr-FR"/>
        </w:rPr>
        <w:t xml:space="preserve"> Benchmarks </w:t>
      </w:r>
      <w:proofErr w:type="spellStart"/>
      <w:r>
        <w:rPr>
          <w:sz w:val="22"/>
          <w:szCs w:val="22"/>
          <w:lang w:val="fr-FR"/>
        </w:rPr>
        <w:t>Supplement</w:t>
      </w:r>
      <w:proofErr w:type="spellEnd"/>
      <w:r>
        <w:rPr>
          <w:sz w:val="22"/>
          <w:szCs w:val="22"/>
          <w:lang w:val="fr-FR"/>
        </w:rPr>
        <w:t xml:space="preserve"> et (iii) avoir procédé à sa propre analyse, le cas échéant avec ses propres conseils, des conséquences, juridiques, fiscales, comptables et réglementaires résultant de l'insertion par référence de </w:t>
      </w:r>
      <w:proofErr w:type="spellStart"/>
      <w:r>
        <w:rPr>
          <w:sz w:val="22"/>
          <w:szCs w:val="22"/>
          <w:lang w:val="fr-FR"/>
        </w:rPr>
        <w:t>ISDA</w:t>
      </w:r>
      <w:proofErr w:type="spellEnd"/>
      <w:r>
        <w:rPr>
          <w:sz w:val="22"/>
          <w:szCs w:val="22"/>
          <w:lang w:val="fr-FR"/>
        </w:rPr>
        <w:t xml:space="preserve"> Benchmarks </w:t>
      </w:r>
      <w:proofErr w:type="spellStart"/>
      <w:r>
        <w:rPr>
          <w:sz w:val="22"/>
          <w:szCs w:val="22"/>
          <w:lang w:val="fr-FR"/>
        </w:rPr>
        <w:t>Supplement</w:t>
      </w:r>
      <w:proofErr w:type="spellEnd"/>
      <w:r>
        <w:rPr>
          <w:sz w:val="22"/>
          <w:szCs w:val="22"/>
          <w:lang w:val="fr-FR"/>
        </w:rPr>
        <w:t>.</w:t>
      </w:r>
    </w:p>
    <w:p>
      <w:pPr>
        <w:pStyle w:val="FBFCont1"/>
        <w:rPr>
          <w:lang w:val="fr-FR"/>
        </w:rPr>
      </w:pPr>
      <w:r>
        <w:rPr>
          <w:lang w:val="fr-FR"/>
        </w:rPr>
        <w:t>Tout terme en majuscule qui n'est pas défini dans le présent Article [X] a le sens qui lui est donné dans l’</w:t>
      </w:r>
      <w:proofErr w:type="spellStart"/>
      <w:r>
        <w:rPr>
          <w:lang w:val="fr-FR"/>
        </w:rPr>
        <w:t>ISDA</w:t>
      </w:r>
      <w:proofErr w:type="spellEnd"/>
      <w:r>
        <w:rPr>
          <w:lang w:val="fr-FR"/>
        </w:rPr>
        <w:t xml:space="preserve"> Benchmarks </w:t>
      </w:r>
      <w:proofErr w:type="spellStart"/>
      <w:r>
        <w:rPr>
          <w:lang w:val="fr-FR"/>
        </w:rPr>
        <w:t>Supplement</w:t>
      </w:r>
      <w:proofErr w:type="spellEnd"/>
      <w:r>
        <w:rPr>
          <w:lang w:val="fr-FR"/>
        </w:rPr>
        <w:t>.</w:t>
      </w:r>
    </w:p>
    <w:p>
      <w:pPr>
        <w:pStyle w:val="FBFL2"/>
        <w:rPr>
          <w:b/>
          <w:bCs/>
        </w:rPr>
      </w:pPr>
      <w:r>
        <w:rPr>
          <w:b/>
          <w:bCs/>
        </w:rPr>
        <w:t>2006 Definitions Benchmarks Annex</w:t>
      </w:r>
    </w:p>
    <w:p>
      <w:pPr>
        <w:pStyle w:val="FBFL3"/>
        <w:rPr>
          <w:lang w:val="fr-FR"/>
        </w:rPr>
      </w:pPr>
      <w:r>
        <w:rPr>
          <w:lang w:val="fr-FR"/>
        </w:rPr>
        <w:t xml:space="preserve">Toute référence dans la </w:t>
      </w:r>
      <w:r>
        <w:rPr>
          <w:i/>
          <w:lang w:val="fr-FR"/>
        </w:rPr>
        <w:t xml:space="preserve">2006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aux </w:t>
      </w:r>
      <w:r>
        <w:rPr>
          <w:i/>
          <w:lang w:val="fr-FR"/>
        </w:rPr>
        <w:t xml:space="preserve">2006 </w:t>
      </w:r>
      <w:proofErr w:type="spellStart"/>
      <w:r>
        <w:rPr>
          <w:i/>
          <w:lang w:val="fr-FR"/>
        </w:rPr>
        <w:t>ISDA</w:t>
      </w:r>
      <w:proofErr w:type="spellEnd"/>
      <w:r>
        <w:rPr>
          <w:i/>
          <w:lang w:val="fr-FR"/>
        </w:rPr>
        <w:t xml:space="preserve"> </w:t>
      </w:r>
      <w:proofErr w:type="spellStart"/>
      <w:r>
        <w:rPr>
          <w:i/>
          <w:lang w:val="fr-FR"/>
        </w:rPr>
        <w:t>Definitions</w:t>
      </w:r>
      <w:proofErr w:type="spellEnd"/>
      <w:r>
        <w:rPr>
          <w:lang w:val="fr-FR"/>
        </w:rPr>
        <w:t xml:space="preserve"> est réputée être une référence aux </w:t>
      </w:r>
      <w:r>
        <w:rPr>
          <w:i/>
          <w:lang w:val="fr-FR"/>
        </w:rPr>
        <w:t xml:space="preserve">2006 </w:t>
      </w:r>
      <w:proofErr w:type="spellStart"/>
      <w:r>
        <w:rPr>
          <w:i/>
          <w:lang w:val="fr-FR"/>
        </w:rPr>
        <w:t>ISDA</w:t>
      </w:r>
      <w:proofErr w:type="spellEnd"/>
      <w:r>
        <w:rPr>
          <w:i/>
          <w:lang w:val="fr-FR"/>
        </w:rPr>
        <w:t xml:space="preserve"> </w:t>
      </w:r>
      <w:proofErr w:type="spellStart"/>
      <w:r>
        <w:rPr>
          <w:i/>
          <w:lang w:val="fr-FR"/>
        </w:rPr>
        <w:t>Definitions</w:t>
      </w:r>
      <w:proofErr w:type="spellEnd"/>
      <w:r>
        <w:rPr>
          <w:i/>
          <w:lang w:val="fr-FR"/>
        </w:rPr>
        <w:t xml:space="preserve"> </w:t>
      </w:r>
      <w:r>
        <w:rPr>
          <w:lang w:val="fr-FR"/>
        </w:rPr>
        <w:t>telles que modifiées et complétées par les Parties, le cas échéant.</w:t>
      </w:r>
    </w:p>
    <w:p>
      <w:pPr>
        <w:pStyle w:val="FBFL3"/>
        <w:rPr>
          <w:lang w:val="fr-FR"/>
        </w:rPr>
      </w:pPr>
      <w:r>
        <w:rPr>
          <w:lang w:val="fr-FR"/>
        </w:rPr>
        <w:t xml:space="preserve">Nonobstant toute stipulation contraire de la </w:t>
      </w:r>
      <w:r>
        <w:rPr>
          <w:i/>
          <w:lang w:val="fr-FR"/>
        </w:rPr>
        <w:t xml:space="preserve">2006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les termes et expressions suivants, mentionnés dans la </w:t>
      </w:r>
      <w:r>
        <w:rPr>
          <w:i/>
          <w:lang w:val="fr-FR"/>
        </w:rPr>
        <w:t xml:space="preserve">2006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ont la signification suivante :</w:t>
      </w:r>
    </w:p>
    <w:p>
      <w:pPr>
        <w:pStyle w:val="FBFL4"/>
        <w:tabs>
          <w:tab w:val="clear" w:pos="1984"/>
          <w:tab w:val="num" w:pos="1418"/>
        </w:tabs>
        <w:ind w:left="1418" w:hanging="284"/>
        <w:rPr>
          <w:lang w:val="fr-FR"/>
        </w:rPr>
      </w:pPr>
      <w:r>
        <w:rPr>
          <w:bCs/>
          <w:lang w:val="fr-FR"/>
        </w:rPr>
        <w:t>"</w:t>
      </w:r>
      <w:proofErr w:type="spellStart"/>
      <w:r>
        <w:rPr>
          <w:b/>
          <w:bCs/>
          <w:lang w:val="fr-FR"/>
        </w:rPr>
        <w:t>Affiliate</w:t>
      </w:r>
      <w:proofErr w:type="spellEnd"/>
      <w:r>
        <w:rPr>
          <w:lang w:val="fr-FR"/>
        </w:rPr>
        <w:t>" désigne, à l'égard de toute personne, toute entité contrôlée, directement ou indirectement, par cette personne, toute entité qui contrôle, directement ou indirectement, cette personne ou toute entité sous contrôle commun avec elle. A cette fin, on entend par "contrôle" d'une entité ou d'une personne la détention de la majorité des droits de vote de l'entité ou de la personne ;</w:t>
      </w:r>
    </w:p>
    <w:p>
      <w:pPr>
        <w:pStyle w:val="FBFL4"/>
        <w:tabs>
          <w:tab w:val="clear" w:pos="1984"/>
          <w:tab w:val="num" w:pos="1418"/>
        </w:tabs>
        <w:ind w:left="1418" w:hanging="284"/>
        <w:rPr>
          <w:lang w:val="fr-FR"/>
        </w:rPr>
      </w:pPr>
      <w:r>
        <w:rPr>
          <w:bCs/>
          <w:lang w:val="fr-FR"/>
        </w:rPr>
        <w:t>"</w:t>
      </w:r>
      <w:r>
        <w:rPr>
          <w:b/>
          <w:bCs/>
          <w:lang w:val="fr-FR"/>
        </w:rPr>
        <w:t>Local Business Day</w:t>
      </w:r>
      <w:r>
        <w:rPr>
          <w:lang w:val="fr-FR"/>
        </w:rPr>
        <w:t>" désigne un "Jour ouvré</w:t>
      </w:r>
      <w:r>
        <w:rPr>
          <w:bCs/>
          <w:lang w:val="fr-FR"/>
        </w:rPr>
        <w:t>" au</w:t>
      </w:r>
      <w:r>
        <w:rPr>
          <w:lang w:val="fr-FR"/>
        </w:rPr>
        <w:t xml:space="preserve"> sens de la Convention ; et</w:t>
      </w:r>
    </w:p>
    <w:p>
      <w:pPr>
        <w:pStyle w:val="FBFL4"/>
        <w:tabs>
          <w:tab w:val="clear" w:pos="1984"/>
          <w:tab w:val="num" w:pos="1418"/>
        </w:tabs>
        <w:ind w:left="1418" w:hanging="284"/>
        <w:rPr>
          <w:lang w:val="fr-FR"/>
        </w:rPr>
      </w:pPr>
      <w:r>
        <w:rPr>
          <w:bCs/>
          <w:lang w:val="fr-FR"/>
        </w:rPr>
        <w:t>"</w:t>
      </w:r>
      <w:r>
        <w:rPr>
          <w:b/>
          <w:bCs/>
          <w:lang w:val="fr-FR"/>
        </w:rPr>
        <w:t>party(</w:t>
      </w:r>
      <w:proofErr w:type="spellStart"/>
      <w:r>
        <w:rPr>
          <w:b/>
          <w:bCs/>
          <w:lang w:val="fr-FR"/>
        </w:rPr>
        <w:t>ies</w:t>
      </w:r>
      <w:proofErr w:type="spellEnd"/>
      <w:r>
        <w:rPr>
          <w:b/>
          <w:bCs/>
          <w:lang w:val="fr-FR"/>
        </w:rPr>
        <w:t>)</w:t>
      </w:r>
      <w:r>
        <w:rPr>
          <w:lang w:val="fr-FR"/>
        </w:rPr>
        <w:t xml:space="preserve"> " désigne la (les) "Partie(s)" au sens de la Convention. </w:t>
      </w:r>
    </w:p>
    <w:p>
      <w:pPr>
        <w:pStyle w:val="FBFL3"/>
        <w:rPr>
          <w:lang w:val="fr-FR"/>
        </w:rPr>
      </w:pPr>
      <w:r>
        <w:rPr>
          <w:lang w:val="fr-FR"/>
        </w:rPr>
        <w:lastRenderedPageBreak/>
        <w:t xml:space="preserve">Les Sections 1.5 (a) et (b) de la </w:t>
      </w:r>
      <w:r>
        <w:rPr>
          <w:i/>
          <w:lang w:val="fr-FR"/>
        </w:rPr>
        <w:t xml:space="preserve">2006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sont supprimées et remplacées par les termes suivants :</w:t>
      </w:r>
    </w:p>
    <w:p>
      <w:pPr>
        <w:pStyle w:val="FBFL4"/>
        <w:numPr>
          <w:ilvl w:val="0"/>
          <w:numId w:val="0"/>
        </w:numPr>
        <w:ind w:left="1134"/>
        <w:rPr>
          <w:lang w:val="fr-FR"/>
        </w:rPr>
      </w:pPr>
      <w:r>
        <w:rPr>
          <w:lang w:val="fr-FR"/>
        </w:rPr>
        <w:t xml:space="preserve">"les stipulations de l’article 7.2.2.1 (si la Convention prend la forme d'une convention-cadre FBF 2013 ou d'une convention-cadre FBF 2007) ou 7.2.2 (si Convention prend la forme d'une convention-cadre FBF 2001 ou d'une convention-cadre AFB 1995) de la Convention sont applicables et, à cet effet (i) un cas d’illégalité au sens de l’article 7.2.1.1 est réputé être intervenu et (ii) le délai pour trouver une solution mutuellement satisfaisante rendant licites les Transactions affectées est réputé expiré sans qu’aucune solution mutuellement acceptable n'ait pu être trouvée." </w:t>
      </w:r>
    </w:p>
    <w:p>
      <w:pPr>
        <w:pStyle w:val="FBFL3"/>
        <w:rPr>
          <w:lang w:val="fr-FR"/>
        </w:rPr>
      </w:pPr>
      <w:r>
        <w:rPr>
          <w:lang w:val="fr-FR"/>
        </w:rPr>
        <w:t>Les références au "</w:t>
      </w:r>
      <w:proofErr w:type="spellStart"/>
      <w:r>
        <w:rPr>
          <w:i/>
          <w:lang w:val="fr-FR"/>
        </w:rPr>
        <w:t>Potential</w:t>
      </w:r>
      <w:proofErr w:type="spellEnd"/>
      <w:r>
        <w:rPr>
          <w:i/>
          <w:lang w:val="fr-FR"/>
        </w:rPr>
        <w:t xml:space="preserve"> Event of Default</w:t>
      </w:r>
      <w:r>
        <w:rPr>
          <w:lang w:val="fr-FR"/>
        </w:rPr>
        <w:t xml:space="preserve">" à la Section 3.1(c) de la </w:t>
      </w:r>
      <w:r>
        <w:rPr>
          <w:i/>
          <w:lang w:val="fr-FR"/>
        </w:rPr>
        <w:t xml:space="preserve">2006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sont supprimées. </w:t>
      </w:r>
    </w:p>
    <w:p>
      <w:pPr>
        <w:pStyle w:val="FBFL3"/>
        <w:rPr>
          <w:lang w:val="fr-FR"/>
        </w:rPr>
      </w:pPr>
      <w:r>
        <w:rPr>
          <w:lang w:val="fr-FR"/>
        </w:rPr>
        <w:t xml:space="preserve">Toute référence, dans la </w:t>
      </w:r>
      <w:r>
        <w:rPr>
          <w:i/>
          <w:lang w:val="fr-FR"/>
        </w:rPr>
        <w:t xml:space="preserve">2006 </w:t>
      </w:r>
      <w:proofErr w:type="spellStart"/>
      <w:r>
        <w:rPr>
          <w:i/>
          <w:lang w:val="fr-FR"/>
        </w:rPr>
        <w:t>Definitions</w:t>
      </w:r>
      <w:proofErr w:type="spellEnd"/>
      <w:r>
        <w:rPr>
          <w:i/>
          <w:lang w:val="fr-FR"/>
        </w:rPr>
        <w:t xml:space="preserve"> Benchmarks </w:t>
      </w:r>
      <w:proofErr w:type="spellStart"/>
      <w:r>
        <w:rPr>
          <w:i/>
          <w:lang w:val="fr-FR"/>
        </w:rPr>
        <w:t>Annex</w:t>
      </w:r>
      <w:proofErr w:type="spellEnd"/>
      <w:r>
        <w:rPr>
          <w:i/>
          <w:lang w:val="fr-FR"/>
        </w:rPr>
        <w:t>,</w:t>
      </w:r>
      <w:r>
        <w:rPr>
          <w:lang w:val="fr-FR"/>
        </w:rPr>
        <w:t xml:space="preserve"> au Contrat-Cadre ISDA (</w:t>
      </w:r>
      <w:r>
        <w:rPr>
          <w:i/>
          <w:lang w:val="fr-FR"/>
        </w:rPr>
        <w:t>ISDA Master Agreement</w:t>
      </w:r>
      <w:r>
        <w:rPr>
          <w:lang w:val="fr-FR"/>
        </w:rPr>
        <w:t>) ou au Contrat-Cadre ISDA 2002 (</w:t>
      </w:r>
      <w:r>
        <w:rPr>
          <w:i/>
          <w:lang w:val="fr-FR"/>
        </w:rPr>
        <w:t>2002 ISDA Master Agreement</w:t>
      </w:r>
      <w:r>
        <w:rPr>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rPr>
      </w:pPr>
      <w:r>
        <w:rPr>
          <w:b/>
          <w:bCs/>
        </w:rPr>
        <w:t>2002 Equity Definitions Benchmarks Annex</w:t>
      </w:r>
    </w:p>
    <w:p>
      <w:pPr>
        <w:pStyle w:val="FBFL3"/>
        <w:rPr>
          <w:lang w:val="fr-FR"/>
        </w:rPr>
      </w:pPr>
      <w:r>
        <w:rPr>
          <w:lang w:val="fr-FR"/>
        </w:rPr>
        <w:t xml:space="preserve">Toute référence dans la </w:t>
      </w:r>
      <w:r>
        <w:rPr>
          <w:i/>
          <w:lang w:val="fr-FR"/>
        </w:rPr>
        <w:t xml:space="preserve">2002 </w:t>
      </w:r>
      <w:proofErr w:type="spellStart"/>
      <w:r>
        <w:rPr>
          <w:i/>
          <w:lang w:val="fr-FR"/>
        </w:rPr>
        <w:t>Equity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aux </w:t>
      </w:r>
      <w:r>
        <w:rPr>
          <w:i/>
          <w:lang w:val="fr-FR"/>
        </w:rPr>
        <w:t xml:space="preserve">2002 </w:t>
      </w:r>
      <w:proofErr w:type="spellStart"/>
      <w:r>
        <w:rPr>
          <w:i/>
          <w:lang w:val="fr-FR"/>
        </w:rPr>
        <w:t>Equity</w:t>
      </w:r>
      <w:proofErr w:type="spellEnd"/>
      <w:r>
        <w:rPr>
          <w:i/>
          <w:lang w:val="fr-FR"/>
        </w:rPr>
        <w:t xml:space="preserve"> </w:t>
      </w:r>
      <w:proofErr w:type="spellStart"/>
      <w:r>
        <w:rPr>
          <w:i/>
          <w:lang w:val="fr-FR"/>
        </w:rPr>
        <w:t>Definitions</w:t>
      </w:r>
      <w:proofErr w:type="spellEnd"/>
      <w:r>
        <w:rPr>
          <w:lang w:val="fr-FR"/>
        </w:rPr>
        <w:t xml:space="preserve"> est réputée être une référence aux </w:t>
      </w:r>
      <w:r>
        <w:rPr>
          <w:i/>
          <w:lang w:val="fr-FR"/>
        </w:rPr>
        <w:t xml:space="preserve">2002 </w:t>
      </w:r>
      <w:proofErr w:type="spellStart"/>
      <w:r>
        <w:rPr>
          <w:i/>
          <w:lang w:val="fr-FR"/>
        </w:rPr>
        <w:t>Equity</w:t>
      </w:r>
      <w:proofErr w:type="spellEnd"/>
      <w:r>
        <w:rPr>
          <w:i/>
          <w:lang w:val="fr-FR"/>
        </w:rPr>
        <w:t xml:space="preserve"> </w:t>
      </w:r>
      <w:proofErr w:type="spellStart"/>
      <w:r>
        <w:rPr>
          <w:i/>
          <w:lang w:val="fr-FR"/>
        </w:rPr>
        <w:t>Definitions</w:t>
      </w:r>
      <w:proofErr w:type="spellEnd"/>
      <w:r>
        <w:rPr>
          <w:i/>
          <w:lang w:val="fr-FR"/>
        </w:rPr>
        <w:t xml:space="preserve"> </w:t>
      </w:r>
      <w:r>
        <w:rPr>
          <w:lang w:val="fr-FR"/>
        </w:rPr>
        <w:t>telles que modifiées et complétées par les Parties, le cas échéant.</w:t>
      </w:r>
    </w:p>
    <w:p>
      <w:pPr>
        <w:pStyle w:val="FBFL3"/>
        <w:rPr>
          <w:lang w:val="fr-FR"/>
        </w:rPr>
      </w:pPr>
      <w:r>
        <w:rPr>
          <w:lang w:val="fr-FR"/>
        </w:rPr>
        <w:t xml:space="preserve">Nonobstant toute stipulation contraire de la </w:t>
      </w:r>
      <w:r>
        <w:rPr>
          <w:i/>
          <w:lang w:val="fr-FR"/>
        </w:rPr>
        <w:t xml:space="preserve">2002 </w:t>
      </w:r>
      <w:proofErr w:type="spellStart"/>
      <w:r>
        <w:rPr>
          <w:i/>
          <w:lang w:val="fr-FR"/>
        </w:rPr>
        <w:t>Equity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les termes et expressions suivants, mentionnés dans la </w:t>
      </w:r>
      <w:r>
        <w:rPr>
          <w:i/>
          <w:lang w:val="fr-FR"/>
        </w:rPr>
        <w:t xml:space="preserve">2002 </w:t>
      </w:r>
      <w:proofErr w:type="spellStart"/>
      <w:r>
        <w:rPr>
          <w:i/>
          <w:lang w:val="fr-FR"/>
        </w:rPr>
        <w:t>Equity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ont la signification suivante :</w:t>
      </w:r>
    </w:p>
    <w:p>
      <w:pPr>
        <w:pStyle w:val="FBFL4"/>
        <w:tabs>
          <w:tab w:val="clear" w:pos="1984"/>
          <w:tab w:val="num" w:pos="1418"/>
        </w:tabs>
        <w:ind w:left="1418" w:hanging="284"/>
        <w:rPr>
          <w:lang w:val="fr-FR"/>
        </w:rPr>
      </w:pPr>
      <w:r>
        <w:rPr>
          <w:lang w:val="fr-FR"/>
        </w:rPr>
        <w:t>"</w:t>
      </w:r>
      <w:r>
        <w:rPr>
          <w:b/>
          <w:lang w:val="fr-FR"/>
        </w:rPr>
        <w:t>Local Business Day</w:t>
      </w:r>
      <w:r>
        <w:rPr>
          <w:lang w:val="fr-FR"/>
        </w:rPr>
        <w:t>" désigne un "Jour Ouvré" au sens de la Convention ; et</w:t>
      </w:r>
    </w:p>
    <w:p>
      <w:pPr>
        <w:pStyle w:val="FBFL4"/>
        <w:tabs>
          <w:tab w:val="clear" w:pos="1984"/>
          <w:tab w:val="num" w:pos="1418"/>
        </w:tabs>
        <w:ind w:left="1418" w:hanging="284"/>
        <w:rPr>
          <w:lang w:val="fr-FR"/>
        </w:rPr>
      </w:pPr>
      <w:r>
        <w:rPr>
          <w:lang w:val="fr-FR"/>
        </w:rPr>
        <w:t>"</w:t>
      </w:r>
      <w:r>
        <w:rPr>
          <w:b/>
          <w:lang w:val="fr-FR"/>
        </w:rPr>
        <w:t>party(</w:t>
      </w:r>
      <w:proofErr w:type="spellStart"/>
      <w:r>
        <w:rPr>
          <w:b/>
          <w:lang w:val="fr-FR"/>
        </w:rPr>
        <w:t>ies</w:t>
      </w:r>
      <w:proofErr w:type="spellEnd"/>
      <w:r>
        <w:rPr>
          <w:b/>
          <w:lang w:val="fr-FR"/>
        </w:rPr>
        <w:t>)</w:t>
      </w:r>
      <w:r>
        <w:rPr>
          <w:lang w:val="fr-FR"/>
        </w:rPr>
        <w:t>" désigne la (les) "Partie(s)" au sens de la Convention.</w:t>
      </w:r>
    </w:p>
    <w:p>
      <w:pPr>
        <w:pStyle w:val="FBFL3"/>
        <w:rPr>
          <w:lang w:val="fr-FR"/>
        </w:rPr>
      </w:pPr>
      <w:r>
        <w:rPr>
          <w:lang w:val="fr-FR"/>
        </w:rPr>
        <w:t xml:space="preserve">Toute référence, dans la </w:t>
      </w:r>
      <w:r>
        <w:rPr>
          <w:i/>
          <w:lang w:val="fr-FR"/>
        </w:rPr>
        <w:t xml:space="preserve">2002 </w:t>
      </w:r>
      <w:proofErr w:type="spellStart"/>
      <w:r>
        <w:rPr>
          <w:i/>
          <w:lang w:val="fr-FR"/>
        </w:rPr>
        <w:t>Equity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i/>
          <w:lang w:val="fr-FR"/>
        </w:rPr>
        <w:t>,</w:t>
      </w:r>
      <w:r>
        <w:rPr>
          <w:lang w:val="fr-FR"/>
        </w:rPr>
        <w:t xml:space="preserve"> au Contrat-Cadre ISDA (</w:t>
      </w:r>
      <w:r>
        <w:rPr>
          <w:i/>
          <w:lang w:val="fr-FR"/>
        </w:rPr>
        <w:t>ISDA Master Agreement</w:t>
      </w:r>
      <w:r>
        <w:rPr>
          <w:lang w:val="fr-FR"/>
        </w:rPr>
        <w:t>) ou au Contrat-Cadre ISDA 2002 (</w:t>
      </w:r>
      <w:r>
        <w:rPr>
          <w:i/>
          <w:lang w:val="fr-FR"/>
        </w:rPr>
        <w:t>2002 ISDA Master Agreement</w:t>
      </w:r>
      <w:r>
        <w:rPr>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rPr>
      </w:pPr>
      <w:r>
        <w:rPr>
          <w:b/>
          <w:bCs/>
        </w:rPr>
        <w:t xml:space="preserve">1998 FX Definitions Benchmarks Annex </w:t>
      </w:r>
    </w:p>
    <w:p>
      <w:pPr>
        <w:pStyle w:val="FBFL3"/>
        <w:rPr>
          <w:lang w:val="fr-FR"/>
        </w:rPr>
      </w:pPr>
      <w:r>
        <w:rPr>
          <w:lang w:val="fr-FR"/>
        </w:rPr>
        <w:t xml:space="preserve">Toute référence dans la </w:t>
      </w:r>
      <w:r>
        <w:rPr>
          <w:i/>
          <w:lang w:val="fr-FR"/>
        </w:rPr>
        <w:t xml:space="preserve">1998 FX </w:t>
      </w:r>
      <w:proofErr w:type="spellStart"/>
      <w:r>
        <w:rPr>
          <w:i/>
          <w:lang w:val="fr-FR"/>
        </w:rPr>
        <w:t>Definitions</w:t>
      </w:r>
      <w:proofErr w:type="spellEnd"/>
      <w:r>
        <w:rPr>
          <w:i/>
          <w:lang w:val="fr-FR"/>
        </w:rPr>
        <w:t xml:space="preserve"> Benchmarks </w:t>
      </w:r>
      <w:proofErr w:type="spellStart"/>
      <w:r>
        <w:rPr>
          <w:i/>
          <w:lang w:val="fr-FR"/>
        </w:rPr>
        <w:t>Annex</w:t>
      </w:r>
      <w:proofErr w:type="spellEnd"/>
      <w:r>
        <w:rPr>
          <w:i/>
          <w:lang w:val="fr-FR"/>
        </w:rPr>
        <w:t xml:space="preserve"> </w:t>
      </w:r>
      <w:r>
        <w:rPr>
          <w:lang w:val="fr-FR"/>
        </w:rPr>
        <w:t xml:space="preserve">aux </w:t>
      </w:r>
      <w:r>
        <w:rPr>
          <w:i/>
          <w:lang w:val="fr-FR"/>
        </w:rPr>
        <w:t xml:space="preserve">1998 FX </w:t>
      </w:r>
      <w:proofErr w:type="spellStart"/>
      <w:r>
        <w:rPr>
          <w:i/>
          <w:lang w:val="fr-FR"/>
        </w:rPr>
        <w:t>Definitions</w:t>
      </w:r>
      <w:proofErr w:type="spellEnd"/>
      <w:r>
        <w:rPr>
          <w:lang w:val="fr-FR"/>
        </w:rPr>
        <w:t xml:space="preserve"> est réputée être une référence aux </w:t>
      </w:r>
      <w:r>
        <w:rPr>
          <w:i/>
          <w:lang w:val="fr-FR"/>
        </w:rPr>
        <w:t xml:space="preserve">1998 FX </w:t>
      </w:r>
      <w:proofErr w:type="spellStart"/>
      <w:r>
        <w:rPr>
          <w:i/>
          <w:lang w:val="fr-FR"/>
        </w:rPr>
        <w:t>Definitions</w:t>
      </w:r>
      <w:proofErr w:type="spellEnd"/>
      <w:r>
        <w:rPr>
          <w:i/>
          <w:lang w:val="fr-FR"/>
        </w:rPr>
        <w:t xml:space="preserve"> </w:t>
      </w:r>
      <w:r>
        <w:rPr>
          <w:lang w:val="fr-FR"/>
        </w:rPr>
        <w:t>telles que modifiées et complétées par les Parties, le cas échéant.</w:t>
      </w:r>
    </w:p>
    <w:p>
      <w:pPr>
        <w:pStyle w:val="FBFL3"/>
        <w:rPr>
          <w:lang w:val="fr-FR"/>
        </w:rPr>
      </w:pPr>
      <w:r>
        <w:rPr>
          <w:lang w:val="fr-FR"/>
        </w:rPr>
        <w:t xml:space="preserve">Nonobstant toute stipulation contraire de la </w:t>
      </w:r>
      <w:r>
        <w:rPr>
          <w:i/>
          <w:lang w:val="fr-FR"/>
        </w:rPr>
        <w:t xml:space="preserve">1998 FX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les termes et expressions suivants, mentionnés dans la </w:t>
      </w:r>
      <w:r>
        <w:rPr>
          <w:i/>
          <w:lang w:val="fr-FR"/>
        </w:rPr>
        <w:t xml:space="preserve">1998 FX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ont la signification suivante :</w:t>
      </w:r>
    </w:p>
    <w:p>
      <w:pPr>
        <w:pStyle w:val="FBFL4"/>
        <w:tabs>
          <w:tab w:val="clear" w:pos="1984"/>
          <w:tab w:val="num" w:pos="1418"/>
        </w:tabs>
        <w:ind w:left="1418" w:hanging="284"/>
        <w:rPr>
          <w:lang w:val="fr-FR"/>
        </w:rPr>
      </w:pPr>
      <w:r>
        <w:rPr>
          <w:lang w:val="fr-FR"/>
        </w:rPr>
        <w:t>"</w:t>
      </w:r>
      <w:r>
        <w:rPr>
          <w:b/>
          <w:lang w:val="fr-FR"/>
        </w:rPr>
        <w:t>Local Business Day</w:t>
      </w:r>
      <w:r>
        <w:rPr>
          <w:lang w:val="fr-FR"/>
        </w:rPr>
        <w:t>" désigne un "Jour Ouvré" au sens de la Convention ; et</w:t>
      </w:r>
    </w:p>
    <w:p>
      <w:pPr>
        <w:pStyle w:val="FBFL4"/>
        <w:tabs>
          <w:tab w:val="clear" w:pos="1984"/>
          <w:tab w:val="num" w:pos="1418"/>
        </w:tabs>
        <w:ind w:left="1418" w:hanging="284"/>
        <w:rPr>
          <w:lang w:val="fr-FR"/>
        </w:rPr>
      </w:pPr>
      <w:r>
        <w:rPr>
          <w:lang w:val="fr-FR"/>
        </w:rPr>
        <w:t>"</w:t>
      </w:r>
      <w:r>
        <w:rPr>
          <w:b/>
          <w:lang w:val="fr-FR"/>
        </w:rPr>
        <w:t>party(</w:t>
      </w:r>
      <w:proofErr w:type="spellStart"/>
      <w:r>
        <w:rPr>
          <w:b/>
          <w:lang w:val="fr-FR"/>
        </w:rPr>
        <w:t>ies</w:t>
      </w:r>
      <w:proofErr w:type="spellEnd"/>
      <w:r>
        <w:rPr>
          <w:b/>
          <w:lang w:val="fr-FR"/>
        </w:rPr>
        <w:t>)</w:t>
      </w:r>
      <w:r>
        <w:rPr>
          <w:lang w:val="fr-FR"/>
        </w:rPr>
        <w:t>" désigne la (les) "Partie(s)" au sens de la Convention.</w:t>
      </w:r>
    </w:p>
    <w:p>
      <w:pPr>
        <w:pStyle w:val="FBFL3"/>
        <w:rPr>
          <w:lang w:val="fr-FR"/>
        </w:rPr>
      </w:pPr>
      <w:r>
        <w:rPr>
          <w:lang w:val="fr-FR"/>
        </w:rPr>
        <w:t xml:space="preserve">Toute référence, dans la </w:t>
      </w:r>
      <w:r>
        <w:rPr>
          <w:i/>
          <w:lang w:val="fr-FR"/>
        </w:rPr>
        <w:t xml:space="preserve">1998 FX </w:t>
      </w:r>
      <w:proofErr w:type="spellStart"/>
      <w:r>
        <w:rPr>
          <w:i/>
          <w:lang w:val="fr-FR"/>
        </w:rPr>
        <w:t>Definitions</w:t>
      </w:r>
      <w:proofErr w:type="spellEnd"/>
      <w:r>
        <w:rPr>
          <w:i/>
          <w:lang w:val="fr-FR"/>
        </w:rPr>
        <w:t xml:space="preserve"> Benchmarks </w:t>
      </w:r>
      <w:proofErr w:type="spellStart"/>
      <w:r>
        <w:rPr>
          <w:i/>
          <w:lang w:val="fr-FR"/>
        </w:rPr>
        <w:t>Annex</w:t>
      </w:r>
      <w:proofErr w:type="spellEnd"/>
      <w:r>
        <w:rPr>
          <w:i/>
          <w:lang w:val="fr-FR"/>
        </w:rPr>
        <w:t>,</w:t>
      </w:r>
      <w:r>
        <w:rPr>
          <w:lang w:val="fr-FR"/>
        </w:rPr>
        <w:t xml:space="preserve"> au Contrat-Cadre ISDA (</w:t>
      </w:r>
      <w:r>
        <w:rPr>
          <w:i/>
          <w:lang w:val="fr-FR"/>
        </w:rPr>
        <w:t>ISDA Master Agreement</w:t>
      </w:r>
      <w:r>
        <w:rPr>
          <w:lang w:val="fr-FR"/>
        </w:rPr>
        <w:t>) ou au Contrat-Cadre ISDA 2002 (</w:t>
      </w:r>
      <w:r>
        <w:rPr>
          <w:i/>
          <w:lang w:val="fr-FR"/>
        </w:rPr>
        <w:t>2002 ISDA Master Agreement</w:t>
      </w:r>
      <w:r>
        <w:rPr>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rPr>
      </w:pPr>
      <w:r>
        <w:rPr>
          <w:b/>
          <w:bCs/>
        </w:rPr>
        <w:t>2005 Commodity Definitions Benchmarks Annex</w:t>
      </w:r>
    </w:p>
    <w:p>
      <w:pPr>
        <w:pStyle w:val="FBFL3"/>
        <w:rPr>
          <w:lang w:val="fr-FR"/>
        </w:rPr>
      </w:pPr>
      <w:r>
        <w:rPr>
          <w:lang w:val="fr-FR"/>
        </w:rPr>
        <w:t xml:space="preserve">Toute référence dans la </w:t>
      </w:r>
      <w:r>
        <w:rPr>
          <w:i/>
          <w:lang w:val="fr-FR"/>
        </w:rPr>
        <w:t xml:space="preserve">2005 </w:t>
      </w:r>
      <w:proofErr w:type="spellStart"/>
      <w:r>
        <w:rPr>
          <w:i/>
          <w:lang w:val="fr-FR"/>
        </w:rPr>
        <w:t>Commodity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i/>
          <w:lang w:val="fr-FR"/>
        </w:rPr>
        <w:t xml:space="preserve"> </w:t>
      </w:r>
      <w:r>
        <w:rPr>
          <w:lang w:val="fr-FR"/>
        </w:rPr>
        <w:t xml:space="preserve">aux </w:t>
      </w:r>
      <w:r>
        <w:rPr>
          <w:i/>
          <w:lang w:val="fr-FR"/>
        </w:rPr>
        <w:t xml:space="preserve">2005 </w:t>
      </w:r>
      <w:proofErr w:type="spellStart"/>
      <w:r>
        <w:rPr>
          <w:i/>
          <w:lang w:val="fr-FR"/>
        </w:rPr>
        <w:t>ISDA</w:t>
      </w:r>
      <w:proofErr w:type="spellEnd"/>
      <w:r>
        <w:rPr>
          <w:i/>
          <w:lang w:val="fr-FR"/>
        </w:rPr>
        <w:t xml:space="preserve"> </w:t>
      </w:r>
      <w:proofErr w:type="spellStart"/>
      <w:r>
        <w:rPr>
          <w:i/>
          <w:lang w:val="fr-FR"/>
        </w:rPr>
        <w:t>Commodity</w:t>
      </w:r>
      <w:proofErr w:type="spellEnd"/>
      <w:r>
        <w:rPr>
          <w:i/>
          <w:lang w:val="fr-FR"/>
        </w:rPr>
        <w:t xml:space="preserve"> </w:t>
      </w:r>
      <w:proofErr w:type="spellStart"/>
      <w:r>
        <w:rPr>
          <w:i/>
          <w:lang w:val="fr-FR"/>
        </w:rPr>
        <w:t>Definitions</w:t>
      </w:r>
      <w:proofErr w:type="spellEnd"/>
      <w:r>
        <w:rPr>
          <w:lang w:val="fr-FR"/>
        </w:rPr>
        <w:t xml:space="preserve"> est réputée être une référence aux </w:t>
      </w:r>
      <w:r>
        <w:rPr>
          <w:i/>
          <w:lang w:val="fr-FR"/>
        </w:rPr>
        <w:t xml:space="preserve">2005 </w:t>
      </w:r>
      <w:proofErr w:type="spellStart"/>
      <w:r>
        <w:rPr>
          <w:i/>
          <w:lang w:val="fr-FR"/>
        </w:rPr>
        <w:t>ISDA</w:t>
      </w:r>
      <w:proofErr w:type="spellEnd"/>
      <w:r>
        <w:rPr>
          <w:i/>
          <w:lang w:val="fr-FR"/>
        </w:rPr>
        <w:t xml:space="preserve"> </w:t>
      </w:r>
      <w:proofErr w:type="spellStart"/>
      <w:r>
        <w:rPr>
          <w:i/>
          <w:lang w:val="fr-FR"/>
        </w:rPr>
        <w:t>Commodity</w:t>
      </w:r>
      <w:proofErr w:type="spellEnd"/>
      <w:r>
        <w:rPr>
          <w:i/>
          <w:lang w:val="fr-FR"/>
        </w:rPr>
        <w:t xml:space="preserve"> </w:t>
      </w:r>
      <w:proofErr w:type="spellStart"/>
      <w:r>
        <w:rPr>
          <w:i/>
          <w:lang w:val="fr-FR"/>
        </w:rPr>
        <w:t>Definitions</w:t>
      </w:r>
      <w:proofErr w:type="spellEnd"/>
      <w:r>
        <w:rPr>
          <w:i/>
          <w:lang w:val="fr-FR"/>
        </w:rPr>
        <w:t xml:space="preserve"> </w:t>
      </w:r>
      <w:r>
        <w:rPr>
          <w:lang w:val="fr-FR"/>
        </w:rPr>
        <w:t>telles que modifiées et complétées par les Parties, le cas échéant.</w:t>
      </w:r>
    </w:p>
    <w:p>
      <w:pPr>
        <w:pStyle w:val="FBFL3"/>
        <w:rPr>
          <w:lang w:val="fr-FR"/>
        </w:rPr>
      </w:pPr>
      <w:r>
        <w:rPr>
          <w:lang w:val="fr-FR"/>
        </w:rPr>
        <w:t xml:space="preserve">Nonobstant toute stipulation contraire de la </w:t>
      </w:r>
      <w:r>
        <w:rPr>
          <w:i/>
          <w:lang w:val="fr-FR"/>
        </w:rPr>
        <w:t xml:space="preserve">2005 </w:t>
      </w:r>
      <w:proofErr w:type="spellStart"/>
      <w:r>
        <w:rPr>
          <w:i/>
          <w:lang w:val="fr-FR"/>
        </w:rPr>
        <w:t>Commodity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xml:space="preserve">, les termes et expressions suivants, mentionnés dans la </w:t>
      </w:r>
      <w:r>
        <w:rPr>
          <w:i/>
          <w:lang w:val="fr-FR"/>
        </w:rPr>
        <w:t xml:space="preserve">2005 </w:t>
      </w:r>
      <w:proofErr w:type="spellStart"/>
      <w:r>
        <w:rPr>
          <w:i/>
          <w:lang w:val="fr-FR"/>
        </w:rPr>
        <w:t>Commodity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lang w:val="fr-FR"/>
        </w:rPr>
        <w:t>, ont la signification suivante :</w:t>
      </w:r>
    </w:p>
    <w:p>
      <w:pPr>
        <w:pStyle w:val="FBFL4"/>
        <w:tabs>
          <w:tab w:val="clear" w:pos="1984"/>
          <w:tab w:val="num" w:pos="1418"/>
        </w:tabs>
        <w:ind w:left="1418" w:hanging="284"/>
        <w:rPr>
          <w:lang w:val="fr-FR"/>
        </w:rPr>
      </w:pPr>
      <w:r>
        <w:rPr>
          <w:lang w:val="fr-FR"/>
        </w:rPr>
        <w:t>"</w:t>
      </w:r>
      <w:r>
        <w:rPr>
          <w:b/>
          <w:lang w:val="fr-FR"/>
        </w:rPr>
        <w:t>Local Business Day</w:t>
      </w:r>
      <w:r>
        <w:rPr>
          <w:lang w:val="fr-FR"/>
        </w:rPr>
        <w:t>" désigne un "Jour Ouvré" au sens de la Convention ; et</w:t>
      </w:r>
    </w:p>
    <w:p>
      <w:pPr>
        <w:pStyle w:val="FBFL4"/>
        <w:tabs>
          <w:tab w:val="clear" w:pos="1984"/>
          <w:tab w:val="num" w:pos="1418"/>
        </w:tabs>
        <w:ind w:left="1418" w:hanging="284"/>
        <w:rPr>
          <w:lang w:val="fr-FR"/>
        </w:rPr>
      </w:pPr>
      <w:r>
        <w:rPr>
          <w:lang w:val="fr-FR"/>
        </w:rPr>
        <w:t>"</w:t>
      </w:r>
      <w:r>
        <w:rPr>
          <w:b/>
          <w:lang w:val="fr-FR"/>
        </w:rPr>
        <w:t>party(</w:t>
      </w:r>
      <w:proofErr w:type="spellStart"/>
      <w:r>
        <w:rPr>
          <w:b/>
          <w:lang w:val="fr-FR"/>
        </w:rPr>
        <w:t>ies</w:t>
      </w:r>
      <w:proofErr w:type="spellEnd"/>
      <w:r>
        <w:rPr>
          <w:b/>
          <w:lang w:val="fr-FR"/>
        </w:rPr>
        <w:t>)</w:t>
      </w:r>
      <w:r>
        <w:rPr>
          <w:lang w:val="fr-FR"/>
        </w:rPr>
        <w:t>" désigne la (les) "Partie(s)" au sens de la Convention.</w:t>
      </w:r>
    </w:p>
    <w:p>
      <w:pPr>
        <w:pStyle w:val="FBFL3"/>
        <w:rPr>
          <w:lang w:val="fr-FR"/>
        </w:rPr>
      </w:pPr>
      <w:r>
        <w:rPr>
          <w:lang w:val="fr-FR"/>
        </w:rPr>
        <w:t xml:space="preserve">Toute référence, dans la </w:t>
      </w:r>
      <w:r>
        <w:rPr>
          <w:i/>
          <w:lang w:val="fr-FR"/>
        </w:rPr>
        <w:t xml:space="preserve">2005 </w:t>
      </w:r>
      <w:proofErr w:type="spellStart"/>
      <w:r>
        <w:rPr>
          <w:i/>
          <w:lang w:val="fr-FR"/>
        </w:rPr>
        <w:t>Commodity</w:t>
      </w:r>
      <w:proofErr w:type="spellEnd"/>
      <w:r>
        <w:rPr>
          <w:i/>
          <w:lang w:val="fr-FR"/>
        </w:rPr>
        <w:t xml:space="preserve"> </w:t>
      </w:r>
      <w:proofErr w:type="spellStart"/>
      <w:r>
        <w:rPr>
          <w:i/>
          <w:lang w:val="fr-FR"/>
        </w:rPr>
        <w:t>Definitions</w:t>
      </w:r>
      <w:proofErr w:type="spellEnd"/>
      <w:r>
        <w:rPr>
          <w:i/>
          <w:lang w:val="fr-FR"/>
        </w:rPr>
        <w:t xml:space="preserve"> Benchmarks </w:t>
      </w:r>
      <w:proofErr w:type="spellStart"/>
      <w:r>
        <w:rPr>
          <w:i/>
          <w:lang w:val="fr-FR"/>
        </w:rPr>
        <w:t>Annex</w:t>
      </w:r>
      <w:proofErr w:type="spellEnd"/>
      <w:r>
        <w:rPr>
          <w:i/>
          <w:lang w:val="fr-FR"/>
        </w:rPr>
        <w:t xml:space="preserve">, </w:t>
      </w:r>
      <w:r>
        <w:rPr>
          <w:lang w:val="fr-FR"/>
        </w:rPr>
        <w:t>au Contrat-Cadre ISDA (</w:t>
      </w:r>
      <w:r>
        <w:rPr>
          <w:i/>
          <w:lang w:val="fr-FR"/>
        </w:rPr>
        <w:t>ISDA Master Agreement</w:t>
      </w:r>
      <w:r>
        <w:rPr>
          <w:lang w:val="fr-FR"/>
        </w:rPr>
        <w:t>) ou au Contrat-Cadre ISDA 2002 (</w:t>
      </w:r>
      <w:r>
        <w:rPr>
          <w:i/>
          <w:lang w:val="fr-FR"/>
        </w:rPr>
        <w:t>2002 ISDA Master Agreement</w:t>
      </w:r>
      <w:r>
        <w:rPr>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lang w:val="fr-FR"/>
        </w:rPr>
      </w:pPr>
      <w:r>
        <w:rPr>
          <w:b/>
          <w:bCs/>
          <w:lang w:val="fr-FR"/>
        </w:rPr>
        <w:t>Droit applicable</w:t>
      </w:r>
    </w:p>
    <w:p>
      <w:pPr>
        <w:pStyle w:val="FBFL3"/>
        <w:rPr>
          <w:lang w:val="fr-FR"/>
        </w:rPr>
      </w:pPr>
      <w:r>
        <w:rPr>
          <w:lang w:val="fr-FR"/>
        </w:rPr>
        <w:t xml:space="preserve">Les modifications apportées aux Définitions ISDA pertinentes sont régies et interprétées conformément à la loi applicable [aux Définitions ISDA]/[à la Transaction pertinente]. </w:t>
      </w:r>
    </w:p>
    <w:sectPr>
      <w:footerReference w:type="default" r:id="rId8"/>
      <w:headerReference w:type="first" r:id="rId9"/>
      <w:footerReference w:type="first" r:id="rId10"/>
      <w:pgSz w:w="11906" w:h="16838" w:code="9"/>
      <w:pgMar w:top="1440" w:right="1440" w:bottom="1440"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line="200" w:lineRule="exact"/>
    </w:pPr>
    <w:r>
      <w:tab/>
      <w:t>-</w:t>
    </w:r>
    <w:r>
      <w:rPr>
        <w:rStyle w:val="PageNumber"/>
      </w:rPr>
      <w:fldChar w:fldCharType="begin"/>
    </w:r>
    <w:r>
      <w:rPr>
        <w:rStyle w:val="PageNumber"/>
      </w:rPr>
      <w:instrText xml:space="preserve"> PAGE \* MERGEFORMAT \* MERGEFORMAT </w:instrText>
    </w:r>
    <w:r>
      <w:rPr>
        <w:rStyle w:val="PageNumber"/>
      </w:rPr>
      <w:fldChar w:fldCharType="separate"/>
    </w:r>
    <w:r>
      <w:rPr>
        <w:rStyle w:val="PageNumber"/>
        <w:noProof/>
      </w:rPr>
      <w:t>3</w:t>
    </w:r>
    <w:r>
      <w:rPr>
        <w:rStyle w:val="PageNumber"/>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line="200" w:lineRule="exact"/>
      <w:jc w:val="both"/>
      <w:rPr>
        <w:sz w:val="22"/>
        <w:lang w:val="fr-FR"/>
      </w:rPr>
    </w:pPr>
    <w:r>
      <w:rPr>
        <w:sz w:val="22"/>
        <w:lang w:val="fr-FR"/>
      </w:rPr>
      <w:t>L'</w:t>
    </w:r>
    <w:proofErr w:type="spellStart"/>
    <w:r>
      <w:rPr>
        <w:sz w:val="22"/>
        <w:lang w:val="fr-FR"/>
      </w:rPr>
      <w:t>ISDA</w:t>
    </w:r>
    <w:proofErr w:type="spellEnd"/>
    <w:r>
      <w:rPr>
        <w:sz w:val="22"/>
        <w:lang w:val="fr-FR"/>
      </w:rPr>
      <w:t xml:space="preserve"> Benchmarks </w:t>
    </w:r>
    <w:proofErr w:type="spellStart"/>
    <w:r>
      <w:rPr>
        <w:sz w:val="22"/>
        <w:lang w:val="fr-FR"/>
      </w:rPr>
      <w:t>Supplement</w:t>
    </w:r>
    <w:proofErr w:type="spellEnd"/>
    <w:r>
      <w:rPr>
        <w:sz w:val="22"/>
        <w:lang w:val="fr-FR"/>
      </w:rPr>
      <w:t xml:space="preserve"> est protégé par le droit d'auteur de l'</w:t>
    </w:r>
    <w:r>
      <w:rPr>
        <w:i/>
        <w:sz w:val="22"/>
        <w:lang w:val="fr-FR"/>
      </w:rPr>
      <w:t xml:space="preserve">International Swaps and </w:t>
    </w:r>
    <w:proofErr w:type="spellStart"/>
    <w:r>
      <w:rPr>
        <w:i/>
        <w:sz w:val="22"/>
        <w:lang w:val="fr-FR"/>
      </w:rPr>
      <w:t>Derivatives</w:t>
    </w:r>
    <w:proofErr w:type="spellEnd"/>
    <w:r>
      <w:rPr>
        <w:i/>
        <w:sz w:val="22"/>
        <w:lang w:val="fr-FR"/>
      </w:rPr>
      <w:t xml:space="preserve"> Association, Inc.</w:t>
    </w:r>
    <w:r>
      <w:rPr>
        <w:sz w:val="22"/>
        <w:lang w:val="fr-FR"/>
      </w:rPr>
      <w:t xml:space="preserve"> (</w:t>
    </w:r>
    <w:proofErr w:type="spellStart"/>
    <w:r>
      <w:rPr>
        <w:sz w:val="22"/>
        <w:lang w:val="fr-FR"/>
      </w:rPr>
      <w:t>ISDA</w:t>
    </w:r>
    <w:proofErr w:type="spellEnd"/>
    <w:r>
      <w:rPr>
        <w:sz w:val="22"/>
        <w:lang w:val="fr-FR"/>
      </w:rPr>
      <w:t>) (2018) et l'usage et la reproduction de ces stipulations sont réalisés avec la permission de l'</w:t>
    </w:r>
    <w:proofErr w:type="spellStart"/>
    <w:r>
      <w:rPr>
        <w:sz w:val="22"/>
        <w:lang w:val="fr-FR"/>
      </w:rPr>
      <w:t>ISDA</w:t>
    </w:r>
    <w:proofErr w:type="spellEnd"/>
    <w:r>
      <w:rPr>
        <w:sz w:val="22"/>
        <w:lang w:val="fr-FR"/>
      </w:rPr>
      <w:t>. La Fédération bancaire française (FBF), la Convention-cadre relative aux opérations sur instruments financiers à terme et la Convention-cadre relative aux opérations de marché à terme ne sont pas affiliées à l'</w:t>
    </w:r>
    <w:proofErr w:type="spellStart"/>
    <w:r>
      <w:rPr>
        <w:sz w:val="22"/>
        <w:lang w:val="fr-FR"/>
      </w:rPr>
      <w:t>ISDA</w:t>
    </w:r>
    <w:proofErr w:type="spellEnd"/>
    <w:r>
      <w:rPr>
        <w:sz w:val="22"/>
        <w:lang w:val="fr-FR"/>
      </w:rPr>
      <w:t xml:space="preserve"> et l'</w:t>
    </w:r>
    <w:proofErr w:type="spellStart"/>
    <w:r>
      <w:rPr>
        <w:sz w:val="22"/>
        <w:lang w:val="fr-FR"/>
      </w:rPr>
      <w:t>ISDA</w:t>
    </w:r>
    <w:proofErr w:type="spellEnd"/>
    <w:r>
      <w:rPr>
        <w:sz w:val="22"/>
        <w:lang w:val="fr-FR"/>
      </w:rPr>
      <w:t xml:space="preserve"> n'a pas participé à la rédaction de ce modèle de clause. L'</w:t>
    </w:r>
    <w:proofErr w:type="spellStart"/>
    <w:r>
      <w:rPr>
        <w:sz w:val="22"/>
        <w:lang w:val="fr-FR"/>
      </w:rPr>
      <w:t>ISDA</w:t>
    </w:r>
    <w:proofErr w:type="spellEnd"/>
    <w:r>
      <w:rPr>
        <w:sz w:val="22"/>
        <w:lang w:val="fr-FR"/>
      </w:rPr>
      <w:t xml:space="preserve"> n'émet aucune opinion, n'effectue aucune déclaration et ne prend aucun engagement, exprès ou tacite, quant au caractère approprié de ce document au regard d'une transaction en particulier et exclut toute responsabilité ou engagement, contractuel ou délictuel, relatif à l'utilisation de l'</w:t>
    </w:r>
    <w:proofErr w:type="spellStart"/>
    <w:r>
      <w:rPr>
        <w:sz w:val="22"/>
        <w:lang w:val="fr-FR"/>
      </w:rPr>
      <w:t>ISDA</w:t>
    </w:r>
    <w:proofErr w:type="spellEnd"/>
    <w:r>
      <w:rPr>
        <w:sz w:val="22"/>
        <w:lang w:val="fr-FR"/>
      </w:rPr>
      <w:t xml:space="preserve"> Benchmarks </w:t>
    </w:r>
    <w:proofErr w:type="spellStart"/>
    <w:r>
      <w:rPr>
        <w:sz w:val="22"/>
        <w:lang w:val="fr-FR"/>
      </w:rPr>
      <w:t>Supplement</w:t>
    </w:r>
    <w:proofErr w:type="spellEnd"/>
    <w:r>
      <w:rPr>
        <w:sz w:val="22"/>
        <w:lang w:val="fr-FR"/>
      </w:rPr>
      <w:t xml:space="preserve"> par incorporation dans la </w:t>
    </w:r>
    <w:r>
      <w:rPr>
        <w:sz w:val="22"/>
        <w:lang w:val="fr-FR"/>
      </w:rPr>
      <w:t xml:space="preserve">Convention-cadre relative aux opérations sur instruments financiers à terme </w:t>
    </w:r>
    <w:r>
      <w:rPr>
        <w:sz w:val="22"/>
        <w:lang w:val="fr-FR"/>
      </w:rPr>
      <w:t>ou</w:t>
    </w:r>
    <w:r>
      <w:rPr>
        <w:sz w:val="22"/>
        <w:lang w:val="fr-FR"/>
      </w:rPr>
      <w:t xml:space="preserve"> la Convention-cadre relative aux opérations de marché à terme</w:t>
    </w:r>
    <w:r>
      <w:rPr>
        <w:sz w:val="22"/>
        <w:lang w:val="fr-FR"/>
      </w:rPr>
      <w:t>. Les utilisateurs de ce documents sont invités à se rapprocher de leur conseil habituel afin de déterminer son caractère approprié au regard de l'utilisation envisagée.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fr-FR"/>
        </w:rPr>
      </w:pPr>
      <w:r>
        <w:rPr>
          <w:rStyle w:val="FootnoteReference"/>
        </w:rPr>
        <w:footnoteRef/>
      </w:r>
      <w:r>
        <w:t xml:space="preserve"> </w:t>
      </w:r>
      <w:r>
        <w:rPr>
          <w:lang w:val="fr-FR"/>
        </w:rPr>
        <w:t>"</w:t>
      </w:r>
      <w:proofErr w:type="spellStart"/>
      <w:r>
        <w:rPr>
          <w:lang w:val="fr-FR"/>
        </w:rPr>
        <w:t>ISDA</w:t>
      </w:r>
      <w:proofErr w:type="spellEnd"/>
      <w:r>
        <w:rPr>
          <w:lang w:val="fr-FR"/>
        </w:rPr>
        <w:t>" est une marque déposée de l'</w:t>
      </w:r>
      <w:r>
        <w:rPr>
          <w:i/>
          <w:lang w:val="fr-FR"/>
        </w:rPr>
        <w:t xml:space="preserve">International Swaps and </w:t>
      </w:r>
      <w:proofErr w:type="spellStart"/>
      <w:r>
        <w:rPr>
          <w:i/>
          <w:lang w:val="fr-FR"/>
        </w:rPr>
        <w:t>Derivatives</w:t>
      </w:r>
      <w:proofErr w:type="spellEnd"/>
      <w:r>
        <w:rPr>
          <w:i/>
          <w:lang w:val="fr-FR"/>
        </w:rPr>
        <w:t xml:space="preserve"> Association, Inc.</w:t>
      </w:r>
    </w:p>
  </w:footnote>
  <w:footnote w:id="2">
    <w:p>
      <w:pPr>
        <w:pStyle w:val="FootnoteText"/>
        <w:rPr>
          <w:lang w:val="fr-FR"/>
        </w:rPr>
      </w:pPr>
      <w:r>
        <w:rPr>
          <w:rStyle w:val="FootnoteReference"/>
        </w:rPr>
        <w:footnoteRef/>
      </w:r>
      <w:r>
        <w:t xml:space="preserve"> </w:t>
      </w:r>
      <w:r>
        <w:rPr>
          <w:lang w:val="fr-FR"/>
        </w:rPr>
        <w:t>Supprimer la référence inutile.</w:t>
      </w:r>
    </w:p>
  </w:footnote>
  <w:footnote w:id="3">
    <w:p>
      <w:pPr>
        <w:pStyle w:val="FootnoteText"/>
        <w:rPr>
          <w:lang w:val="fr-FR"/>
        </w:rPr>
      </w:pPr>
      <w:r>
        <w:rPr>
          <w:rStyle w:val="FootnoteReference"/>
        </w:rPr>
        <w:footnoteRef/>
      </w:r>
      <w:r>
        <w:t xml:space="preserve"> </w:t>
      </w:r>
      <w:r>
        <w:rPr>
          <w:lang w:val="fr-FR"/>
        </w:rPr>
        <w:t>Insérer lorsque cette clause est intégrée dans la Convention.</w:t>
      </w:r>
    </w:p>
  </w:footnote>
  <w:footnote w:id="4">
    <w:p>
      <w:pPr>
        <w:pStyle w:val="FootnoteText"/>
        <w:rPr>
          <w:lang w:val="fr-FR"/>
        </w:rPr>
      </w:pPr>
      <w:r>
        <w:rPr>
          <w:rStyle w:val="FootnoteReference"/>
        </w:rPr>
        <w:footnoteRef/>
      </w:r>
      <w:r>
        <w:t xml:space="preserve"> </w:t>
      </w:r>
      <w:r>
        <w:rPr>
          <w:lang w:val="fr-FR"/>
        </w:rPr>
        <w:t>Insérer lorsque cette clause est intégrée dans la Confirmation.</w:t>
      </w:r>
    </w:p>
    <w:p>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b/>
        <w:i/>
        <w:sz w:val="22"/>
        <w:szCs w:val="22"/>
      </w:rPr>
    </w:pPr>
    <w:r>
      <w:rPr>
        <w:sz w:val="22"/>
        <w:szCs w:val="22"/>
      </w:rPr>
      <w:ptab w:alignment="right" w:relativeTo="margin" w:leader="none"/>
    </w:r>
    <w:r>
      <w:rPr>
        <w:b/>
        <w:i/>
        <w:sz w:val="22"/>
        <w:szCs w:val="22"/>
      </w:rPr>
      <w:t>Version finale</w:t>
    </w:r>
  </w:p>
  <w:p>
    <w:pPr>
      <w:pStyle w:val="Header"/>
      <w:spacing w:after="240"/>
      <w:jc w:val="right"/>
      <w:rPr>
        <w:b/>
        <w:sz w:val="22"/>
        <w:szCs w:val="22"/>
      </w:rPr>
    </w:pPr>
    <w:r>
      <w:rPr>
        <w:b/>
        <w:i/>
        <w:sz w:val="22"/>
        <w:szCs w:val="22"/>
      </w:rPr>
      <w:t xml:space="preserve"> [A </w:t>
    </w:r>
    <w:proofErr w:type="spellStart"/>
    <w:r>
      <w:rPr>
        <w:b/>
        <w:i/>
        <w:sz w:val="22"/>
        <w:szCs w:val="22"/>
      </w:rPr>
      <w:t>insérer</w:t>
    </w:r>
    <w:proofErr w:type="spellEnd"/>
    <w:r>
      <w:rPr>
        <w:b/>
        <w:i/>
        <w:sz w:val="22"/>
        <w:szCs w:val="22"/>
      </w:rPr>
      <w:t xml:space="preserve"> </w:t>
    </w:r>
    <w:proofErr w:type="spellStart"/>
    <w:r>
      <w:rPr>
        <w:b/>
        <w:i/>
        <w:sz w:val="22"/>
        <w:szCs w:val="22"/>
      </w:rPr>
      <w:t>dans</w:t>
    </w:r>
    <w:proofErr w:type="spellEnd"/>
    <w:r>
      <w:rPr>
        <w:b/>
        <w:i/>
        <w:sz w:val="22"/>
        <w:szCs w:val="22"/>
      </w:rPr>
      <w:t xml:space="preserve"> la convention-cadre FBF </w:t>
    </w:r>
    <w:proofErr w:type="spellStart"/>
    <w:r>
      <w:rPr>
        <w:b/>
        <w:i/>
        <w:sz w:val="22"/>
        <w:szCs w:val="22"/>
      </w:rPr>
      <w:t>ou</w:t>
    </w:r>
    <w:proofErr w:type="spellEnd"/>
    <w:r>
      <w:rPr>
        <w:b/>
        <w:i/>
        <w:sz w:val="22"/>
        <w:szCs w:val="22"/>
      </w:rPr>
      <w:t xml:space="preserve"> </w:t>
    </w:r>
    <w:proofErr w:type="spellStart"/>
    <w:r>
      <w:rPr>
        <w:b/>
        <w:i/>
        <w:sz w:val="22"/>
        <w:szCs w:val="22"/>
      </w:rPr>
      <w:t>dans</w:t>
    </w:r>
    <w:proofErr w:type="spellEnd"/>
    <w:r>
      <w:rPr>
        <w:b/>
        <w:i/>
        <w:sz w:val="22"/>
        <w:szCs w:val="22"/>
      </w:rPr>
      <w:t xml:space="preserve"> </w:t>
    </w:r>
    <w:proofErr w:type="spellStart"/>
    <w:r>
      <w:rPr>
        <w:b/>
        <w:i/>
        <w:sz w:val="22"/>
        <w:szCs w:val="22"/>
      </w:rPr>
      <w:t>une</w:t>
    </w:r>
    <w:proofErr w:type="spellEnd"/>
    <w:r>
      <w:rPr>
        <w:b/>
        <w:i/>
        <w:sz w:val="22"/>
        <w:szCs w:val="22"/>
      </w:rPr>
      <w:t xml:space="preserve"> Confirmation à </w:t>
    </w:r>
    <w:proofErr w:type="spellStart"/>
    <w:r>
      <w:rPr>
        <w:b/>
        <w:i/>
        <w:sz w:val="22"/>
        <w:szCs w:val="22"/>
      </w:rPr>
      <w:t>conclure</w:t>
    </w:r>
    <w:proofErr w:type="spellEnd"/>
    <w:r>
      <w:rPr>
        <w:b/>
        <w:i/>
        <w:sz w:val="22"/>
        <w:szCs w:val="22"/>
      </w:rPr>
      <w:t>]</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8FC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BAE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62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30E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89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40D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83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84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043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62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315E9"/>
    <w:multiLevelType w:val="hybridMultilevel"/>
    <w:tmpl w:val="84EE3E6A"/>
    <w:lvl w:ilvl="0" w:tplc="44F4B546">
      <w:start w:val="1"/>
      <w:numFmt w:val="bullet"/>
      <w:lvlText w:val=""/>
      <w:lvlJc w:val="left"/>
      <w:pPr>
        <w:ind w:left="1440" w:hanging="360"/>
      </w:pPr>
      <w:rPr>
        <w:rFonts w:ascii="Symbol" w:hAnsi="Symbol" w:hint="default"/>
      </w:rPr>
    </w:lvl>
    <w:lvl w:ilvl="1" w:tplc="44F4B5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2208C"/>
    <w:multiLevelType w:val="hybridMultilevel"/>
    <w:tmpl w:val="A89033EA"/>
    <w:lvl w:ilvl="0" w:tplc="44F4B546">
      <w:start w:val="1"/>
      <w:numFmt w:val="bullet"/>
      <w:lvlText w:val=""/>
      <w:lvlJc w:val="left"/>
      <w:pPr>
        <w:ind w:left="144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B67D8"/>
    <w:multiLevelType w:val="hybridMultilevel"/>
    <w:tmpl w:val="4718FAFC"/>
    <w:lvl w:ilvl="0" w:tplc="44F4B546">
      <w:start w:val="1"/>
      <w:numFmt w:val="bullet"/>
      <w:lvlText w:val=""/>
      <w:lvlJc w:val="left"/>
      <w:pPr>
        <w:ind w:left="1440" w:hanging="360"/>
      </w:pPr>
      <w:rPr>
        <w:rFonts w:ascii="Symbol" w:hAnsi="Symbol" w:hint="default"/>
      </w:rPr>
    </w:lvl>
    <w:lvl w:ilvl="1" w:tplc="44F4B5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D5E1A"/>
    <w:multiLevelType w:val="multilevel"/>
    <w:tmpl w:val="BB72B07A"/>
    <w:name w:val="zzmpLEGALB||LEGAL B|2|3|1|1|2|45||1|2|5||1|2|0||1|2|0||1|2|0||1|2|0||1|2|0||1|2|0||1|2|0||"/>
    <w:lvl w:ilvl="0">
      <w:start w:val="1"/>
      <w:numFmt w:val="decimal"/>
      <w:pStyle w:val="LEGALBL1"/>
      <w:lvlText w:val="%1"/>
      <w:lvlJc w:val="left"/>
      <w:pPr>
        <w:tabs>
          <w:tab w:val="num" w:pos="720"/>
        </w:tabs>
        <w:ind w:left="720" w:hanging="720"/>
      </w:pPr>
      <w:rPr>
        <w:rFonts w:ascii="Times New Roman" w:hAnsi="Times New Roman" w:cs="Times New Roman"/>
        <w:b w:val="0"/>
        <w:i w:val="0"/>
        <w:caps w:val="0"/>
        <w:sz w:val="22"/>
        <w:u w:val="none"/>
      </w:rPr>
    </w:lvl>
    <w:lvl w:ilvl="1">
      <w:start w:val="1"/>
      <w:numFmt w:val="decimal"/>
      <w:pStyle w:val="LEGALBL2"/>
      <w:lvlText w:val="%1.%2"/>
      <w:lvlJc w:val="left"/>
      <w:pPr>
        <w:tabs>
          <w:tab w:val="num" w:pos="720"/>
        </w:tabs>
        <w:ind w:left="720" w:hanging="720"/>
      </w:pPr>
      <w:rPr>
        <w:rFonts w:ascii="Times New Roman" w:hAnsi="Times New Roman" w:cs="Times New Roman"/>
        <w:b w:val="0"/>
        <w:i w:val="0"/>
        <w:caps w:val="0"/>
        <w:sz w:val="22"/>
        <w:u w:val="none"/>
      </w:rPr>
    </w:lvl>
    <w:lvl w:ilvl="2">
      <w:start w:val="1"/>
      <w:numFmt w:val="decimal"/>
      <w:pStyle w:val="LEGALBL3"/>
      <w:lvlText w:val="%1.%2.%3"/>
      <w:lvlJc w:val="left"/>
      <w:pPr>
        <w:tabs>
          <w:tab w:val="num" w:pos="1440"/>
        </w:tabs>
        <w:ind w:left="1440" w:hanging="720"/>
      </w:pPr>
      <w:rPr>
        <w:rFonts w:ascii="Times New Roman" w:hAnsi="Times New Roman" w:cs="Times New Roman"/>
        <w:b w:val="0"/>
        <w:i w:val="0"/>
        <w:caps w:val="0"/>
        <w:sz w:val="22"/>
        <w:u w:val="none"/>
      </w:rPr>
    </w:lvl>
    <w:lvl w:ilvl="3">
      <w:start w:val="1"/>
      <w:numFmt w:val="decimal"/>
      <w:pStyle w:val="LEGALBL4"/>
      <w:lvlText w:val="%1.%2.%3.%4"/>
      <w:lvlJc w:val="left"/>
      <w:pPr>
        <w:tabs>
          <w:tab w:val="num" w:pos="2520"/>
        </w:tabs>
        <w:ind w:left="2520" w:hanging="1080"/>
      </w:pPr>
      <w:rPr>
        <w:rFonts w:ascii="Times New Roman" w:hAnsi="Times New Roman" w:cs="Times New Roman"/>
        <w:b w:val="0"/>
        <w:i w:val="0"/>
        <w:caps w:val="0"/>
        <w:sz w:val="22"/>
        <w:u w:val="none"/>
      </w:rPr>
    </w:lvl>
    <w:lvl w:ilvl="4">
      <w:start w:val="1"/>
      <w:numFmt w:val="lowerLetter"/>
      <w:pStyle w:val="LEGALBL5"/>
      <w:lvlText w:val="(%5)"/>
      <w:lvlJc w:val="left"/>
      <w:pPr>
        <w:tabs>
          <w:tab w:val="num" w:pos="2160"/>
        </w:tabs>
        <w:ind w:left="2160" w:hanging="720"/>
      </w:pPr>
      <w:rPr>
        <w:rFonts w:ascii="Times New Roman" w:hAnsi="Times New Roman" w:cs="Times New Roman"/>
        <w:b w:val="0"/>
        <w:i w:val="0"/>
        <w:caps w:val="0"/>
        <w:sz w:val="22"/>
        <w:u w:val="none"/>
      </w:rPr>
    </w:lvl>
    <w:lvl w:ilvl="5">
      <w:start w:val="1"/>
      <w:numFmt w:val="lowerRoman"/>
      <w:pStyle w:val="LEGALBL6"/>
      <w:lvlText w:val="(%6)"/>
      <w:lvlJc w:val="left"/>
      <w:pPr>
        <w:tabs>
          <w:tab w:val="num" w:pos="2880"/>
        </w:tabs>
        <w:ind w:left="2880" w:hanging="720"/>
      </w:pPr>
      <w:rPr>
        <w:rFonts w:ascii="Times New Roman" w:hAnsi="Times New Roman" w:cs="Times New Roman"/>
        <w:b w:val="0"/>
        <w:i w:val="0"/>
        <w:caps w:val="0"/>
        <w:sz w:val="22"/>
        <w:u w:val="none"/>
      </w:rPr>
    </w:lvl>
    <w:lvl w:ilvl="6">
      <w:start w:val="1"/>
      <w:numFmt w:val="upperLetter"/>
      <w:pStyle w:val="LEGALBL7"/>
      <w:lvlText w:val="(%7)"/>
      <w:lvlJc w:val="left"/>
      <w:pPr>
        <w:tabs>
          <w:tab w:val="num" w:pos="3600"/>
        </w:tabs>
        <w:ind w:left="3600" w:hanging="720"/>
      </w:pPr>
      <w:rPr>
        <w:rFonts w:ascii="Times New Roman" w:hAnsi="Times New Roman" w:cs="Times New Roman"/>
        <w:b w:val="0"/>
        <w:i w:val="0"/>
        <w:caps w:val="0"/>
        <w:sz w:val="22"/>
        <w:u w:val="none"/>
      </w:rPr>
    </w:lvl>
    <w:lvl w:ilvl="7">
      <w:start w:val="1"/>
      <w:numFmt w:val="decimal"/>
      <w:pStyle w:val="LEGALBL8"/>
      <w:lvlText w:val="(%8)"/>
      <w:lvlJc w:val="left"/>
      <w:pPr>
        <w:tabs>
          <w:tab w:val="num" w:pos="4320"/>
        </w:tabs>
        <w:ind w:left="4320" w:hanging="720"/>
      </w:pPr>
      <w:rPr>
        <w:rFonts w:ascii="Times New Roman" w:hAnsi="Times New Roman" w:cs="Times New Roman"/>
        <w:b w:val="0"/>
        <w:i w:val="0"/>
        <w:caps w:val="0"/>
        <w:sz w:val="22"/>
        <w:u w:val="none"/>
      </w:rPr>
    </w:lvl>
    <w:lvl w:ilvl="8">
      <w:start w:val="1"/>
      <w:numFmt w:val="lowerLetter"/>
      <w:pStyle w:val="LEGALBL9"/>
      <w:lvlText w:val="%9)"/>
      <w:lvlJc w:val="left"/>
      <w:pPr>
        <w:tabs>
          <w:tab w:val="num" w:pos="5040"/>
        </w:tabs>
        <w:ind w:left="5040" w:hanging="720"/>
      </w:pPr>
      <w:rPr>
        <w:rFonts w:ascii="Times New Roman" w:hAnsi="Times New Roman" w:cs="Times New Roman"/>
        <w:b w:val="0"/>
        <w:i w:val="0"/>
        <w:caps w:val="0"/>
        <w:sz w:val="22"/>
        <w:u w:val="none"/>
      </w:rPr>
    </w:lvl>
  </w:abstractNum>
  <w:abstractNum w:abstractNumId="14" w15:restartNumberingAfterBreak="0">
    <w:nsid w:val="2CBA1D3E"/>
    <w:multiLevelType w:val="hybridMultilevel"/>
    <w:tmpl w:val="1710152A"/>
    <w:lvl w:ilvl="0" w:tplc="44F4B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C43AB"/>
    <w:multiLevelType w:val="hybridMultilevel"/>
    <w:tmpl w:val="5F3E5D20"/>
    <w:lvl w:ilvl="0" w:tplc="44F4B5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5E7E8B"/>
    <w:multiLevelType w:val="hybridMultilevel"/>
    <w:tmpl w:val="C5247ECA"/>
    <w:lvl w:ilvl="0" w:tplc="93EEBEC8">
      <w:start w:val="1"/>
      <w:numFmt w:val="decimal"/>
      <w:pStyle w:val="Heading2"/>
      <w:lvlText w:val="[X].%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10723"/>
    <w:multiLevelType w:val="hybridMultilevel"/>
    <w:tmpl w:val="0F605CA0"/>
    <w:lvl w:ilvl="0" w:tplc="44F4B54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C5489"/>
    <w:multiLevelType w:val="hybridMultilevel"/>
    <w:tmpl w:val="8AE6216C"/>
    <w:lvl w:ilvl="0" w:tplc="890878D4">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7"/>
  </w:num>
  <w:num w:numId="12">
    <w:abstractNumId w:val="12"/>
  </w:num>
  <w:num w:numId="13">
    <w:abstractNumId w:val="11"/>
  </w:num>
  <w:num w:numId="14">
    <w:abstractNumId w:val="10"/>
  </w:num>
  <w:num w:numId="15">
    <w:abstractNumId w:val="15"/>
  </w:num>
  <w:num w:numId="16">
    <w:abstractNumId w:val="14"/>
  </w:num>
  <w:num w:numId="17">
    <w:abstractNumId w:val="19"/>
  </w:num>
  <w:num w:numId="18">
    <w:abstractNumId w:val="19"/>
  </w:num>
  <w:num w:numId="19">
    <w:abstractNumId w:val="19"/>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545D934-291B-43BB-BD2B-999F4EA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3"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3"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uiPriority="0" w:semiHidden="1" w:unhideWhenUsed="1" w:qFormat="1"/>
    <w:lsdException w:name="Body Text First Indent 2" w:uiPriority="1" w:semiHidden="1" w:unhideWhenUsed="1"/>
    <w:lsdException w:name="Note Heading" w:semiHidden="1" w:unhideWhenUsed="1"/>
    <w:lsdException w:name="Body Text 2" w:uiPriority="1" w:semiHidden="1" w:unhideWhenUsed="1"/>
    <w:lsdException w:name="Body Text 3" w:uiPriority="2" w:semiHidden="1" w:unhideWhenUsed="1"/>
    <w:lsdException w:name="Body Text Indent 2" w:uiPriority="1" w:semiHidden="1" w:unhideWhenUsed="1"/>
    <w:lsdException w:name="Body Text Indent 3" w:uiPriority="2"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9"/>
    <w:unhideWhenUsed/>
    <w:pPr>
      <w:spacing w:after="0" w:line="240" w:lineRule="auto"/>
    </w:pPr>
    <w:rPr>
      <w:rFonts w:ascii="Times New Roman" w:hAnsi="Times New Roman" w:eastAsia="DFKai-SB" w:cs="Times New Roman"/>
      <w:sz w:val="24"/>
      <w:szCs w:val="24"/>
    </w:rPr>
  </w:style>
  <w:style w:type="paragraph" w:styleId="Heading1">
    <w:name w:val="heading 1"/>
    <w:basedOn w:val="Normal"/>
    <w:next w:val="BodyText"/>
    <w:link w:val="Heading1Char"/>
    <w:uiPriority w:val="9"/>
    <w:unhideWhenUsed/>
    <w:pPr>
      <w:keepNext/>
      <w:spacing w:after="240"/>
      <w:jc w:val="both"/>
      <w:outlineLvl w:val="0"/>
    </w:pPr>
    <w:rPr>
      <w:rFonts w:eastAsia="SimSun"/>
      <w:b/>
      <w:caps/>
      <w:sz w:val="22"/>
      <w:szCs w:val="20"/>
      <w:u w:val="single"/>
    </w:rPr>
  </w:style>
  <w:style w:type="paragraph" w:styleId="Heading2">
    <w:name w:val="heading 2"/>
    <w:basedOn w:val="Normal"/>
    <w:next w:val="BodyText"/>
    <w:link w:val="Heading2Char"/>
    <w:uiPriority w:val="9"/>
    <w:unhideWhenUsed/>
    <w:pPr>
      <w:keepNext/>
      <w:numPr>
        <w:numId w:val="31"/>
      </w:numPr>
      <w:spacing w:after="240"/>
      <w:jc w:val="both"/>
      <w:outlineLvl w:val="1"/>
    </w:pPr>
    <w:rPr>
      <w:rFonts w:eastAsia="SimSun"/>
      <w:b/>
      <w:sz w:val="22"/>
      <w:szCs w:val="20"/>
    </w:rPr>
  </w:style>
  <w:style w:type="paragraph" w:styleId="Heading3">
    <w:name w:val="heading 3"/>
    <w:basedOn w:val="Normal"/>
    <w:next w:val="BodyText"/>
    <w:link w:val="Heading3Char"/>
    <w:uiPriority w:val="9"/>
    <w:unhideWhenUsed/>
    <w:pPr>
      <w:spacing w:after="240"/>
      <w:jc w:val="both"/>
      <w:outlineLvl w:val="2"/>
    </w:pPr>
    <w:rPr>
      <w:rFonts w:eastAsia="SimSun"/>
      <w:sz w:val="22"/>
      <w:szCs w:val="20"/>
    </w:rPr>
  </w:style>
  <w:style w:type="paragraph" w:styleId="Heading4">
    <w:name w:val="heading 4"/>
    <w:basedOn w:val="Normal"/>
    <w:next w:val="BodyText"/>
    <w:link w:val="Heading4Char"/>
    <w:uiPriority w:val="9"/>
    <w:unhideWhenUsed/>
    <w:pPr>
      <w:numPr>
        <w:numId w:val="32"/>
      </w:numPr>
      <w:spacing w:after="240"/>
      <w:ind w:left="1985" w:hanging="851"/>
      <w:jc w:val="both"/>
      <w:outlineLvl w:val="3"/>
    </w:pPr>
    <w:rPr>
      <w:rFonts w:eastAsia="SimSun"/>
      <w:sz w:val="22"/>
      <w:szCs w:val="20"/>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DFKai-SB" w:cs="Tahoma"/>
      <w:sz w:val="16"/>
      <w:szCs w:val="16"/>
    </w:rPr>
  </w:style>
  <w:style w:type="paragraph" w:styleId="BlockText">
    <w:name w:val="Block Text"/>
    <w:basedOn w:val="Normal"/>
    <w:qFormat/>
    <w:pPr>
      <w:spacing w:after="240"/>
      <w:ind w:left="720" w:right="720"/>
    </w:pPr>
    <w:rPr>
      <w:iCs/>
    </w:rPr>
  </w:style>
  <w:style w:type="paragraph" w:styleId="BlockText2" w:customStyle="1">
    <w:name w:val="Block Text 2"/>
    <w:basedOn w:val="Normal"/>
    <w:uiPriority w:val="1"/>
    <w:semiHidden/>
    <w:unhideWhenUsed/>
    <w:pPr>
      <w:spacing w:line="480" w:lineRule="auto"/>
      <w:ind w:left="720" w:right="720"/>
    </w:pPr>
  </w:style>
  <w:style w:type="paragraph" w:styleId="BlockText3" w:customStyle="1">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styleId="BodyTextChar" w:customStyle="1">
    <w:name w:val="Body Text Char"/>
    <w:basedOn w:val="DefaultParagraphFont"/>
    <w:link w:val="BodyText"/>
    <w:rPr>
      <w:rFonts w:ascii="Times New Roman" w:hAnsi="Times New Roman" w:eastAsia="DFKai-SB"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styleId="BodyText2Char" w:customStyle="1">
    <w:name w:val="Body Text 2 Char"/>
    <w:basedOn w:val="DefaultParagraphFont"/>
    <w:link w:val="BodyText2"/>
    <w:uiPriority w:val="1"/>
    <w:semiHidden/>
    <w:rPr>
      <w:rFonts w:ascii="Times New Roman" w:hAnsi="Times New Roman" w:eastAsia="DFKai-SB"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styleId="BodyText3Char" w:customStyle="1">
    <w:name w:val="Body Text 3 Char"/>
    <w:basedOn w:val="DefaultParagraphFont"/>
    <w:link w:val="BodyText3"/>
    <w:uiPriority w:val="2"/>
    <w:semiHidden/>
    <w:rPr>
      <w:rFonts w:ascii="Times New Roman" w:hAnsi="Times New Roman" w:eastAsia="DFKai-SB"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styleId="BodyTextFirstIndentChar" w:customStyle="1">
    <w:name w:val="Body Text First Indent Char"/>
    <w:basedOn w:val="BodyTextChar"/>
    <w:link w:val="BodyTextFirstIndent"/>
    <w:rPr>
      <w:rFonts w:ascii="Times New Roman" w:hAnsi="Times New Roman" w:eastAsia="DFKai-SB" w:cs="Times New Roman"/>
      <w:sz w:val="24"/>
      <w:szCs w:val="24"/>
    </w:rPr>
  </w:style>
  <w:style w:type="paragraph" w:styleId="BodyTextIndent">
    <w:name w:val="Body Text Indent"/>
    <w:basedOn w:val="Normal"/>
    <w:link w:val="BodyTextIndentChar"/>
    <w:qFormat/>
    <w:pPr>
      <w:spacing w:after="240"/>
      <w:ind w:left="720"/>
    </w:pPr>
  </w:style>
  <w:style w:type="character" w:styleId="BodyTextIndentChar" w:customStyle="1">
    <w:name w:val="Body Text Indent Char"/>
    <w:basedOn w:val="DefaultParagraphFont"/>
    <w:link w:val="BodyTextIndent"/>
    <w:rPr>
      <w:rFonts w:ascii="Times New Roman" w:hAnsi="Times New Roman" w:eastAsia="DFKai-SB"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styleId="BodyTextFirstIndent2Char" w:customStyle="1">
    <w:name w:val="Body Text First Indent 2 Char"/>
    <w:basedOn w:val="BodyTextIndentChar"/>
    <w:link w:val="BodyTextFirstIndent2"/>
    <w:uiPriority w:val="1"/>
    <w:semiHidden/>
    <w:rPr>
      <w:rFonts w:ascii="Times New Roman" w:hAnsi="Times New Roman" w:eastAsia="DFKai-SB" w:cs="Times New Roman"/>
      <w:sz w:val="24"/>
      <w:szCs w:val="24"/>
    </w:rPr>
  </w:style>
  <w:style w:type="paragraph" w:styleId="BodyTextFirstIndent3" w:customStyle="1">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styleId="BodyTextIndent2Char" w:customStyle="1">
    <w:name w:val="Body Text Indent 2 Char"/>
    <w:basedOn w:val="DefaultParagraphFont"/>
    <w:link w:val="BodyTextIndent2"/>
    <w:uiPriority w:val="1"/>
    <w:semiHidden/>
    <w:rPr>
      <w:rFonts w:ascii="Times New Roman" w:hAnsi="Times New Roman" w:eastAsia="DFKai-SB"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styleId="BodyTextIndent3Char" w:customStyle="1">
    <w:name w:val="Body Text Indent 3 Char"/>
    <w:basedOn w:val="DefaultParagraphFont"/>
    <w:link w:val="BodyTextIndent3"/>
    <w:uiPriority w:val="2"/>
    <w:semiHidden/>
    <w:rPr>
      <w:rFonts w:ascii="Times New Roman" w:hAnsi="Times New Roman" w:eastAsia="DFKai-SB"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styleId="ClosingChar" w:customStyle="1">
    <w:name w:val="Closing Char"/>
    <w:basedOn w:val="DefaultParagraphFont"/>
    <w:link w:val="Closing"/>
    <w:uiPriority w:val="99"/>
    <w:semiHidden/>
    <w:rPr>
      <w:rFonts w:ascii="Times New Roman" w:hAnsi="Times New Roman" w:eastAsia="DFKai-SB" w:cs="Times New Roman"/>
      <w:sz w:val="24"/>
      <w:szCs w:val="24"/>
    </w:rPr>
  </w:style>
  <w:style w:type="paragraph" w:styleId="Signature">
    <w:name w:val="Signature"/>
    <w:basedOn w:val="Normal"/>
    <w:next w:val="Normal"/>
    <w:link w:val="SignatureChar"/>
    <w:uiPriority w:val="3"/>
    <w:qFormat/>
    <w:pPr>
      <w:spacing w:before="720"/>
      <w:ind w:left="4680"/>
    </w:pPr>
  </w:style>
  <w:style w:type="character" w:styleId="SignatureChar" w:customStyle="1">
    <w:name w:val="Signature Char"/>
    <w:basedOn w:val="DefaultParagraphFont"/>
    <w:link w:val="Signature"/>
    <w:uiPriority w:val="3"/>
    <w:rPr>
      <w:rFonts w:ascii="Times New Roman" w:hAnsi="Times New Roman" w:eastAsia="DFKai-SB" w:cs="Times New Roman"/>
      <w:sz w:val="24"/>
      <w:szCs w:val="24"/>
    </w:rPr>
  </w:style>
  <w:style w:type="table" w:styleId="ColorfulGrid">
    <w:name w:val="Colorful Grid"/>
    <w:basedOn w:val="TableNormal"/>
    <w:uiPriority w:val="73"/>
    <w:pPr>
      <w:spacing w:after="0" w:line="240" w:lineRule="auto"/>
    </w:pPr>
    <w:rPr>
      <w:rFonts w:ascii="Times New Roman" w:hAnsi="Times New Roman" w:eastAsia="DFKai-SB" w:cs="Times New Roman"/>
      <w:color w:val="000000" w:themeColor="text1"/>
      <w:sz w:val="24"/>
      <w:szCs w:val="24"/>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styleId="DateChar" w:customStyle="1">
    <w:name w:val="Date Char"/>
    <w:basedOn w:val="DefaultParagraphFont"/>
    <w:link w:val="Date"/>
    <w:rPr>
      <w:rFonts w:ascii="Times New Roman" w:hAnsi="Times New Roman" w:eastAsia="DFKai-SB"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styleId="EndnoteTextChar" w:customStyle="1">
    <w:name w:val="Endnote Text Char"/>
    <w:basedOn w:val="DefaultParagraphFont"/>
    <w:link w:val="EndnoteText"/>
    <w:uiPriority w:val="99"/>
    <w:semiHidden/>
    <w:rPr>
      <w:rFonts w:ascii="Times New Roman" w:hAnsi="Times New Roman" w:eastAsia="DFKai-SB" w:cs="Times New Roman"/>
      <w:sz w:val="20"/>
      <w:szCs w:val="20"/>
    </w:rPr>
  </w:style>
  <w:style w:type="paragraph" w:styleId="Footer">
    <w:name w:val="footer"/>
    <w:basedOn w:val="Normal"/>
    <w:link w:val="FooterChar"/>
    <w:uiPriority w:val="99"/>
    <w:unhideWhenUsed/>
    <w:pPr>
      <w:tabs>
        <w:tab w:val="center" w:pos="4736"/>
        <w:tab w:val="right" w:pos="9473"/>
      </w:tabs>
    </w:pPr>
  </w:style>
  <w:style w:type="character" w:styleId="FooterChar" w:customStyle="1">
    <w:name w:val="Footer Char"/>
    <w:basedOn w:val="DefaultParagraphFont"/>
    <w:link w:val="Footer"/>
    <w:uiPriority w:val="99"/>
    <w:rPr>
      <w:rFonts w:ascii="Times New Roman" w:hAnsi="Times New Roman" w:eastAsia="DFKai-SB" w:cs="Times New Roman"/>
      <w:sz w:val="24"/>
      <w:szCs w:val="24"/>
    </w:rPr>
  </w:style>
  <w:style w:type="paragraph" w:styleId="FootnoteText">
    <w:name w:val="footnote text"/>
    <w:basedOn w:val="Normal"/>
    <w:next w:val="Normal"/>
    <w:link w:val="FootnoteTextChar"/>
    <w:uiPriority w:val="3"/>
    <w:semiHidden/>
    <w:unhideWhenUsed/>
    <w:pPr>
      <w:spacing w:after="120"/>
      <w:ind w:firstLine="720"/>
    </w:pPr>
    <w:rPr>
      <w:sz w:val="20"/>
      <w:szCs w:val="20"/>
    </w:rPr>
  </w:style>
  <w:style w:type="character" w:styleId="FootnoteTextChar" w:customStyle="1">
    <w:name w:val="Footnote Text Char"/>
    <w:basedOn w:val="DefaultParagraphFont"/>
    <w:link w:val="FootnoteText"/>
    <w:uiPriority w:val="3"/>
    <w:semiHidden/>
    <w:rPr>
      <w:rFonts w:ascii="Times New Roman" w:hAnsi="Times New Roman" w:eastAsia="DFKai-SB" w:cs="Times New Roman"/>
      <w:sz w:val="20"/>
      <w:szCs w:val="20"/>
    </w:rPr>
  </w:style>
  <w:style w:type="paragraph" w:styleId="FootnoteContinued" w:customStyle="1">
    <w:name w:val="Footnote Continued"/>
    <w:basedOn w:val="FootnoteText"/>
    <w:uiPriority w:val="3"/>
    <w:qFormat/>
    <w:pPr>
      <w:ind w:firstLine="0"/>
    </w:pPr>
  </w:style>
  <w:style w:type="paragraph" w:styleId="FootnoteQuote" w:customStyle="1">
    <w:name w:val="Footnote Quote"/>
    <w:basedOn w:val="FootnoteText"/>
    <w:uiPriority w:val="3"/>
    <w:qFormat/>
    <w:pPr>
      <w:ind w:left="1440" w:right="1440" w:firstLine="0"/>
    </w:pPr>
  </w:style>
  <w:style w:type="character" w:styleId="FootnoteReference">
    <w:name w:val="footnote reference"/>
    <w:basedOn w:val="DefaultParagraphFont"/>
    <w:uiPriority w:val="99"/>
    <w:semiHidden/>
    <w:unhideWhenUsed/>
    <w:rPr>
      <w:vertAlign w:val="superscript"/>
    </w:rPr>
  </w:style>
  <w:style w:type="paragraph" w:styleId="FootnoteSeparator" w:customStyle="1">
    <w:name w:val="Footnote Separator"/>
    <w:basedOn w:val="Normal"/>
    <w:uiPriority w:val="19"/>
    <w:semiHidden/>
    <w:rPr>
      <w:sz w:val="20"/>
    </w:rPr>
  </w:style>
  <w:style w:type="paragraph" w:styleId="GraphicC" w:customStyle="1">
    <w:name w:val="GraphicC"/>
    <w:basedOn w:val="Normal"/>
    <w:uiPriority w:val="3"/>
    <w:pPr>
      <w:spacing w:after="240"/>
      <w:jc w:val="center"/>
    </w:pPr>
  </w:style>
  <w:style w:type="paragraph" w:styleId="GraphicL" w:customStyle="1">
    <w:name w:val="GraphicL"/>
    <w:basedOn w:val="Normal"/>
    <w:uiPriority w:val="3"/>
    <w:pPr>
      <w:spacing w:after="240"/>
    </w:pPr>
  </w:style>
  <w:style w:type="paragraph" w:styleId="GraphicR" w:customStyle="1">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eastAsia="DFKai-SB" w:cs="Times New Roman"/>
      <w:sz w:val="24"/>
      <w:szCs w:val="24"/>
    </w:rPr>
  </w:style>
  <w:style w:type="character" w:styleId="Heading1Char" w:customStyle="1">
    <w:name w:val="Heading 1 Char"/>
    <w:basedOn w:val="DefaultParagraphFont"/>
    <w:link w:val="Heading1"/>
    <w:uiPriority w:val="9"/>
    <w:rPr>
      <w:rFonts w:ascii="Times New Roman" w:hAnsi="Times New Roman" w:eastAsia="SimSun" w:cs="Times New Roman"/>
      <w:b/>
      <w:caps/>
      <w:szCs w:val="20"/>
      <w:u w:val="single"/>
    </w:rPr>
  </w:style>
  <w:style w:type="character" w:styleId="Heading2Char" w:customStyle="1">
    <w:name w:val="Heading 2 Char"/>
    <w:basedOn w:val="DefaultParagraphFont"/>
    <w:link w:val="Heading2"/>
    <w:uiPriority w:val="9"/>
    <w:rPr>
      <w:rFonts w:ascii="Times New Roman" w:hAnsi="Times New Roman" w:eastAsia="SimSun" w:cs="Times New Roman"/>
      <w:b/>
      <w:szCs w:val="20"/>
    </w:rPr>
  </w:style>
  <w:style w:type="character" w:styleId="Heading3Char" w:customStyle="1">
    <w:name w:val="Heading 3 Char"/>
    <w:basedOn w:val="DefaultParagraphFont"/>
    <w:link w:val="Heading3"/>
    <w:uiPriority w:val="9"/>
    <w:rPr>
      <w:rFonts w:ascii="Times New Roman" w:hAnsi="Times New Roman" w:eastAsia="SimSun" w:cs="Times New Roman"/>
      <w:szCs w:val="20"/>
    </w:rPr>
  </w:style>
  <w:style w:type="character" w:styleId="Heading4Char" w:customStyle="1">
    <w:name w:val="Heading 4 Char"/>
    <w:basedOn w:val="DefaultParagraphFont"/>
    <w:link w:val="Heading4"/>
    <w:uiPriority w:val="9"/>
    <w:rPr>
      <w:rFonts w:ascii="Times New Roman" w:hAnsi="Times New Roman" w:eastAsia="SimSun" w:cs="Times New Roman"/>
      <w:szCs w:val="20"/>
    </w:rPr>
  </w:style>
  <w:style w:type="character" w:styleId="Heading5Char" w:customStyle="1">
    <w:name w:val="Heading 5 Char"/>
    <w:basedOn w:val="DefaultParagraphFont"/>
    <w:link w:val="Heading5"/>
    <w:uiPriority w:val="9"/>
    <w:semiHidden/>
    <w:rPr>
      <w:rFonts w:ascii="Times New Roman" w:hAnsi="Times New Roman" w:eastAsia="DFKai-SB" w:cstheme="majorBidi"/>
      <w:sz w:val="24"/>
      <w:szCs w:val="24"/>
    </w:rPr>
  </w:style>
  <w:style w:type="character" w:styleId="Heading6Char" w:customStyle="1">
    <w:name w:val="Heading 6 Char"/>
    <w:basedOn w:val="DefaultParagraphFont"/>
    <w:link w:val="Heading6"/>
    <w:uiPriority w:val="9"/>
    <w:semiHidden/>
    <w:rPr>
      <w:rFonts w:ascii="Times New Roman" w:hAnsi="Times New Roman" w:eastAsia="DFKai-SB" w:cstheme="majorBidi"/>
      <w:iCs/>
      <w:sz w:val="24"/>
      <w:szCs w:val="24"/>
    </w:rPr>
  </w:style>
  <w:style w:type="character" w:styleId="Heading7Char" w:customStyle="1">
    <w:name w:val="Heading 7 Char"/>
    <w:basedOn w:val="DefaultParagraphFont"/>
    <w:link w:val="Heading7"/>
    <w:uiPriority w:val="9"/>
    <w:semiHidden/>
    <w:rPr>
      <w:rFonts w:ascii="Times New Roman" w:hAnsi="Times New Roman" w:eastAsia="DFKai-SB" w:cstheme="majorBidi"/>
      <w:iCs/>
      <w:sz w:val="24"/>
      <w:szCs w:val="24"/>
    </w:rPr>
  </w:style>
  <w:style w:type="character" w:styleId="Heading8Char" w:customStyle="1">
    <w:name w:val="Heading 8 Char"/>
    <w:basedOn w:val="DefaultParagraphFont"/>
    <w:link w:val="Heading8"/>
    <w:uiPriority w:val="9"/>
    <w:semiHidden/>
    <w:rPr>
      <w:rFonts w:ascii="Times New Roman" w:hAnsi="Times New Roman" w:eastAsia="DFKai-SB" w:cstheme="majorBidi"/>
      <w:sz w:val="24"/>
      <w:szCs w:val="20"/>
    </w:rPr>
  </w:style>
  <w:style w:type="character" w:styleId="Heading9Char" w:customStyle="1">
    <w:name w:val="Heading 9 Char"/>
    <w:basedOn w:val="DefaultParagraphFont"/>
    <w:link w:val="Heading9"/>
    <w:uiPriority w:val="9"/>
    <w:semiHidden/>
    <w:rPr>
      <w:rFonts w:ascii="Times New Roman" w:hAnsi="Times New Roman" w:eastAsia="DFKai-SB" w:cstheme="majorBidi"/>
      <w:iCs/>
      <w:sz w:val="24"/>
      <w:szCs w:val="20"/>
    </w:rPr>
  </w:style>
  <w:style w:type="paragraph" w:styleId="NoticeBlock" w:customStyle="1">
    <w:name w:val="Notice Block"/>
    <w:basedOn w:val="Normal"/>
    <w:uiPriority w:val="3"/>
    <w:pPr>
      <w:keepLines/>
      <w:spacing w:after="240"/>
      <w:ind w:left="720" w:hanging="720"/>
    </w:pPr>
  </w:style>
  <w:style w:type="paragraph" w:styleId="NoticeBlockIndent1" w:customStyle="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styleId="QuoteChar" w:customStyle="1">
    <w:name w:val="Quote Char"/>
    <w:basedOn w:val="DefaultParagraphFont"/>
    <w:link w:val="Quote"/>
    <w:rPr>
      <w:rFonts w:ascii="Times New Roman" w:hAnsi="Times New Roman" w:eastAsia="DFKai-SB"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styleId="SalutationChar" w:customStyle="1">
    <w:name w:val="Salutation Char"/>
    <w:basedOn w:val="DefaultParagraphFont"/>
    <w:link w:val="Salutation"/>
    <w:uiPriority w:val="99"/>
    <w:semiHidden/>
    <w:rPr>
      <w:rFonts w:ascii="Times New Roman" w:hAnsi="Times New Roman" w:eastAsia="DFKai-SB" w:cs="Times New Roman"/>
      <w:sz w:val="24"/>
      <w:szCs w:val="24"/>
    </w:rPr>
  </w:style>
  <w:style w:type="paragraph" w:styleId="SignatureByLine" w:customStyle="1">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styleId="SubtitleChar" w:customStyle="1">
    <w:name w:val="Subtitle Char"/>
    <w:basedOn w:val="DefaultParagraphFont"/>
    <w:link w:val="Subtitle"/>
    <w:rPr>
      <w:rFonts w:ascii="Times New Roman" w:hAnsi="Times New Roman" w:eastAsia="DFKai-SB" w:cs="Times New Roman"/>
      <w:b/>
      <w:iCs/>
      <w:sz w:val="24"/>
      <w:szCs w:val="24"/>
    </w:rPr>
  </w:style>
  <w:style w:type="paragraph" w:styleId="SubtitleLeft" w:customStyle="1">
    <w:name w:val="Subtitle Left"/>
    <w:basedOn w:val="Normal"/>
    <w:next w:val="BodyTextFirstIndent"/>
    <w:qFormat/>
    <w:pPr>
      <w:keepNext/>
      <w:spacing w:after="240"/>
      <w:contextualSpacing/>
    </w:pPr>
    <w:rPr>
      <w:b/>
    </w:rPr>
  </w:style>
  <w:style w:type="table" w:styleId="TableGrid">
    <w:name w:val="Table Grid"/>
    <w:basedOn w:val="TableNormal"/>
    <w:uiPriority w:val="59"/>
    <w:pPr>
      <w:spacing w:after="0" w:line="240" w:lineRule="auto"/>
    </w:pPr>
    <w:rPr>
      <w:rFonts w:ascii="Times New Roman" w:hAnsi="Times New Roman" w:eastAsia="DFKai-SB" w:cs="Times New Roman"/>
      <w:sz w:val="24"/>
      <w:szCs w:val="24"/>
      <w:lang w:eastAsia="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styleId="TitleChar" w:customStyle="1">
    <w:name w:val="Title Char"/>
    <w:basedOn w:val="DefaultParagraphFont"/>
    <w:link w:val="Title"/>
    <w:rPr>
      <w:rFonts w:ascii="Times New Roman" w:hAnsi="Times New Roman" w:eastAsia="DFKai-SB" w:cs="Times New Roman"/>
      <w:b/>
      <w:caps/>
      <w:sz w:val="24"/>
      <w:szCs w:val="52"/>
    </w:rPr>
  </w:style>
  <w:style w:type="paragraph" w:styleId="TitleLeft" w:customStyle="1">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semiHidden/>
    <w:unhideWhenUsed/>
    <w:qFormat/>
    <w:pPr>
      <w:spacing w:after="240"/>
      <w:jc w:val="center"/>
    </w:pPr>
    <w:rPr>
      <w:b/>
      <w:caps/>
    </w:rPr>
  </w:style>
  <w:style w:type="paragraph" w:styleId="BodyTextContinued" w:customStyle="1">
    <w:name w:val="Body Text Continued"/>
    <w:basedOn w:val="Normal"/>
    <w:link w:val="BodyTextContinuedChar"/>
    <w:pPr>
      <w:keepNext/>
      <w:tabs>
        <w:tab w:val="num" w:pos="720"/>
      </w:tabs>
      <w:spacing w:after="240"/>
      <w:ind w:left="720" w:hanging="720"/>
      <w:jc w:val="both"/>
    </w:pPr>
    <w:rPr>
      <w:rFonts w:eastAsia="SimSun"/>
      <w:b/>
      <w:bCs/>
      <w:caps/>
      <w:sz w:val="22"/>
      <w:szCs w:val="22"/>
      <w:lang w:val="en-GB"/>
    </w:rPr>
  </w:style>
  <w:style w:type="character" w:styleId="BodyTextContinuedChar" w:customStyle="1">
    <w:name w:val="Body Text Continued Char"/>
    <w:basedOn w:val="DefaultParagraphFont"/>
    <w:link w:val="BodyTextContinued"/>
    <w:rPr>
      <w:rFonts w:ascii="Times New Roman" w:hAnsi="Times New Roman" w:eastAsia="SimSun" w:cs="Times New Roman"/>
      <w:b/>
      <w:bCs/>
      <w:caps/>
      <w:lang w:val="en-GB"/>
    </w:rPr>
  </w:style>
  <w:style w:type="paragraph" w:styleId="LEGALBCont1" w:customStyle="1">
    <w:name w:val="LEGALB Cont 1"/>
    <w:basedOn w:val="Normal"/>
    <w:next w:val="BodyText"/>
    <w:link w:val="LEGALBCont1Char"/>
    <w:pPr>
      <w:keepNext/>
      <w:tabs>
        <w:tab w:val="left" w:pos="720"/>
      </w:tabs>
      <w:spacing w:after="240"/>
      <w:ind w:left="720"/>
      <w:jc w:val="both"/>
    </w:pPr>
    <w:rPr>
      <w:rFonts w:eastAsia="SimSun"/>
      <w:sz w:val="22"/>
    </w:rPr>
  </w:style>
  <w:style w:type="character" w:styleId="LEGALBCont1Char" w:customStyle="1">
    <w:name w:val="LEGALB Cont 1 Char"/>
    <w:basedOn w:val="DefaultParagraphFont"/>
    <w:link w:val="LEGALBCont1"/>
    <w:rPr>
      <w:rFonts w:ascii="Times New Roman" w:hAnsi="Times New Roman" w:eastAsia="SimSun" w:cs="Times New Roman"/>
      <w:szCs w:val="24"/>
    </w:rPr>
  </w:style>
  <w:style w:type="paragraph" w:styleId="LEGALBCont2" w:customStyle="1">
    <w:name w:val="LEGALB Cont 2"/>
    <w:basedOn w:val="Normal"/>
    <w:next w:val="BodyText"/>
    <w:link w:val="LEGALBCont2Char"/>
    <w:pPr>
      <w:tabs>
        <w:tab w:val="left" w:pos="720"/>
      </w:tabs>
      <w:spacing w:after="240"/>
      <w:ind w:left="720"/>
      <w:jc w:val="both"/>
    </w:pPr>
    <w:rPr>
      <w:rFonts w:eastAsia="SimSun"/>
      <w:sz w:val="22"/>
      <w:szCs w:val="20"/>
    </w:rPr>
  </w:style>
  <w:style w:type="character" w:styleId="LEGALBCont2Char" w:customStyle="1">
    <w:name w:val="LEGALB Cont 2 Char"/>
    <w:basedOn w:val="DefaultParagraphFont"/>
    <w:link w:val="LEGALBCont2"/>
    <w:rPr>
      <w:rFonts w:ascii="Times New Roman" w:hAnsi="Times New Roman" w:eastAsia="SimSun" w:cs="Times New Roman"/>
      <w:szCs w:val="20"/>
    </w:rPr>
  </w:style>
  <w:style w:type="paragraph" w:styleId="LEGALBCont3" w:customStyle="1">
    <w:name w:val="LEGALB Cont 3"/>
    <w:basedOn w:val="Normal"/>
    <w:next w:val="BodyText"/>
    <w:link w:val="LEGALBCont3Char"/>
    <w:pPr>
      <w:tabs>
        <w:tab w:val="left" w:pos="1440"/>
      </w:tabs>
      <w:spacing w:after="240"/>
      <w:ind w:left="1440"/>
      <w:jc w:val="both"/>
    </w:pPr>
    <w:rPr>
      <w:rFonts w:eastAsia="SimSun"/>
      <w:sz w:val="22"/>
      <w:szCs w:val="20"/>
    </w:rPr>
  </w:style>
  <w:style w:type="character" w:styleId="LEGALBCont3Char" w:customStyle="1">
    <w:name w:val="LEGALB Cont 3 Char"/>
    <w:basedOn w:val="DefaultParagraphFont"/>
    <w:link w:val="LEGALBCont3"/>
    <w:rPr>
      <w:rFonts w:ascii="Times New Roman" w:hAnsi="Times New Roman" w:eastAsia="SimSun" w:cs="Times New Roman"/>
      <w:szCs w:val="20"/>
    </w:rPr>
  </w:style>
  <w:style w:type="paragraph" w:styleId="LEGALBCont4" w:customStyle="1">
    <w:name w:val="LEGALB Cont 4"/>
    <w:basedOn w:val="Normal"/>
    <w:next w:val="BodyText"/>
    <w:link w:val="LEGALBCont4Char"/>
    <w:pPr>
      <w:tabs>
        <w:tab w:val="left" w:pos="2520"/>
      </w:tabs>
      <w:spacing w:after="240"/>
      <w:ind w:left="2520"/>
      <w:jc w:val="both"/>
    </w:pPr>
    <w:rPr>
      <w:rFonts w:eastAsia="SimSun"/>
      <w:sz w:val="22"/>
      <w:szCs w:val="20"/>
    </w:rPr>
  </w:style>
  <w:style w:type="character" w:styleId="LEGALBCont4Char" w:customStyle="1">
    <w:name w:val="LEGALB Cont 4 Char"/>
    <w:basedOn w:val="DefaultParagraphFont"/>
    <w:link w:val="LEGALBCont4"/>
    <w:rPr>
      <w:rFonts w:ascii="Times New Roman" w:hAnsi="Times New Roman" w:eastAsia="SimSun" w:cs="Times New Roman"/>
      <w:szCs w:val="20"/>
    </w:rPr>
  </w:style>
  <w:style w:type="paragraph" w:styleId="LEGALBCont5" w:customStyle="1">
    <w:name w:val="LEGALB Cont 5"/>
    <w:basedOn w:val="Normal"/>
    <w:next w:val="BodyText"/>
    <w:link w:val="LEGALBCont5Char"/>
    <w:pPr>
      <w:tabs>
        <w:tab w:val="left" w:pos="2160"/>
      </w:tabs>
      <w:spacing w:after="240"/>
      <w:ind w:left="2160"/>
      <w:jc w:val="both"/>
    </w:pPr>
    <w:rPr>
      <w:rFonts w:eastAsia="SimSun"/>
      <w:sz w:val="22"/>
      <w:szCs w:val="20"/>
    </w:rPr>
  </w:style>
  <w:style w:type="character" w:styleId="LEGALBCont5Char" w:customStyle="1">
    <w:name w:val="LEGALB Cont 5 Char"/>
    <w:basedOn w:val="DefaultParagraphFont"/>
    <w:link w:val="LEGALBCont5"/>
    <w:rPr>
      <w:rFonts w:ascii="Times New Roman" w:hAnsi="Times New Roman" w:eastAsia="SimSun" w:cs="Times New Roman"/>
      <w:szCs w:val="20"/>
    </w:rPr>
  </w:style>
  <w:style w:type="paragraph" w:styleId="LEGALBCont6" w:customStyle="1">
    <w:name w:val="LEGALB Cont 6"/>
    <w:basedOn w:val="Normal"/>
    <w:next w:val="BodyText"/>
    <w:link w:val="LEGALBCont6Char"/>
    <w:pPr>
      <w:tabs>
        <w:tab w:val="left" w:pos="2880"/>
      </w:tabs>
      <w:spacing w:after="240"/>
      <w:ind w:left="2880"/>
      <w:jc w:val="both"/>
    </w:pPr>
    <w:rPr>
      <w:rFonts w:eastAsia="SimSun"/>
      <w:sz w:val="22"/>
      <w:szCs w:val="20"/>
    </w:rPr>
  </w:style>
  <w:style w:type="character" w:styleId="LEGALBCont6Char" w:customStyle="1">
    <w:name w:val="LEGALB Cont 6 Char"/>
    <w:basedOn w:val="DefaultParagraphFont"/>
    <w:link w:val="LEGALBCont6"/>
    <w:rPr>
      <w:rFonts w:ascii="Times New Roman" w:hAnsi="Times New Roman" w:eastAsia="SimSun" w:cs="Times New Roman"/>
      <w:szCs w:val="20"/>
    </w:rPr>
  </w:style>
  <w:style w:type="paragraph" w:styleId="LEGALBCont7" w:customStyle="1">
    <w:name w:val="LEGALB Cont 7"/>
    <w:basedOn w:val="Normal"/>
    <w:next w:val="BodyText"/>
    <w:link w:val="LEGALBCont7Char"/>
    <w:pPr>
      <w:tabs>
        <w:tab w:val="left" w:pos="3600"/>
      </w:tabs>
      <w:spacing w:after="240"/>
      <w:ind w:left="3600"/>
      <w:jc w:val="both"/>
    </w:pPr>
    <w:rPr>
      <w:rFonts w:eastAsia="SimSun"/>
      <w:sz w:val="22"/>
      <w:szCs w:val="20"/>
    </w:rPr>
  </w:style>
  <w:style w:type="character" w:styleId="LEGALBCont7Char" w:customStyle="1">
    <w:name w:val="LEGALB Cont 7 Char"/>
    <w:basedOn w:val="DefaultParagraphFont"/>
    <w:link w:val="LEGALBCont7"/>
    <w:rPr>
      <w:rFonts w:ascii="Times New Roman" w:hAnsi="Times New Roman" w:eastAsia="SimSun" w:cs="Times New Roman"/>
      <w:szCs w:val="20"/>
    </w:rPr>
  </w:style>
  <w:style w:type="paragraph" w:styleId="LEGALBCont8" w:customStyle="1">
    <w:name w:val="LEGALB Cont 8"/>
    <w:basedOn w:val="Normal"/>
    <w:next w:val="BodyText"/>
    <w:link w:val="LEGALBCont8Char"/>
    <w:pPr>
      <w:tabs>
        <w:tab w:val="left" w:pos="4320"/>
      </w:tabs>
      <w:spacing w:after="240"/>
      <w:ind w:left="4320"/>
      <w:jc w:val="both"/>
    </w:pPr>
    <w:rPr>
      <w:rFonts w:eastAsia="SimSun"/>
      <w:sz w:val="22"/>
      <w:szCs w:val="20"/>
    </w:rPr>
  </w:style>
  <w:style w:type="character" w:styleId="LEGALBCont8Char" w:customStyle="1">
    <w:name w:val="LEGALB Cont 8 Char"/>
    <w:basedOn w:val="DefaultParagraphFont"/>
    <w:link w:val="LEGALBCont8"/>
    <w:rPr>
      <w:rFonts w:ascii="Times New Roman" w:hAnsi="Times New Roman" w:eastAsia="SimSun" w:cs="Times New Roman"/>
      <w:szCs w:val="20"/>
    </w:rPr>
  </w:style>
  <w:style w:type="paragraph" w:styleId="LEGALBCont9" w:customStyle="1">
    <w:name w:val="LEGALB Cont 9"/>
    <w:basedOn w:val="Normal"/>
    <w:next w:val="BodyText"/>
    <w:link w:val="LEGALBCont9Char"/>
    <w:pPr>
      <w:tabs>
        <w:tab w:val="left" w:pos="5040"/>
      </w:tabs>
      <w:spacing w:after="240"/>
      <w:ind w:left="5040"/>
      <w:jc w:val="both"/>
    </w:pPr>
    <w:rPr>
      <w:rFonts w:eastAsia="SimSun"/>
      <w:sz w:val="22"/>
      <w:szCs w:val="20"/>
    </w:rPr>
  </w:style>
  <w:style w:type="character" w:styleId="LEGALBCont9Char" w:customStyle="1">
    <w:name w:val="LEGALB Cont 9 Char"/>
    <w:basedOn w:val="DefaultParagraphFont"/>
    <w:link w:val="LEGALBCont9"/>
    <w:rPr>
      <w:rFonts w:ascii="Times New Roman" w:hAnsi="Times New Roman" w:eastAsia="SimSun" w:cs="Times New Roman"/>
      <w:szCs w:val="20"/>
    </w:rPr>
  </w:style>
  <w:style w:type="paragraph" w:styleId="LEGALBL1" w:customStyle="1">
    <w:name w:val="LEGALB_L1"/>
    <w:basedOn w:val="Normal"/>
    <w:next w:val="BodyText"/>
    <w:link w:val="LEGALBL1Char"/>
    <w:pPr>
      <w:keepNext/>
      <w:numPr>
        <w:numId w:val="1"/>
      </w:numPr>
      <w:spacing w:after="240"/>
      <w:jc w:val="both"/>
      <w:outlineLvl w:val="0"/>
    </w:pPr>
    <w:rPr>
      <w:rFonts w:eastAsia="SimSun"/>
      <w:b/>
      <w:caps/>
      <w:sz w:val="22"/>
      <w:szCs w:val="20"/>
      <w:u w:val="single"/>
    </w:rPr>
  </w:style>
  <w:style w:type="character" w:styleId="LEGALBL1Char" w:customStyle="1">
    <w:name w:val="LEGALB_L1 Char"/>
    <w:basedOn w:val="DefaultParagraphFont"/>
    <w:link w:val="LEGALBL1"/>
    <w:rPr>
      <w:rFonts w:ascii="Times New Roman" w:hAnsi="Times New Roman" w:eastAsia="SimSun" w:cs="Times New Roman"/>
      <w:b/>
      <w:caps/>
      <w:szCs w:val="20"/>
      <w:u w:val="single"/>
    </w:rPr>
  </w:style>
  <w:style w:type="paragraph" w:styleId="LEGALBL2" w:customStyle="1">
    <w:name w:val="LEGALB_L2"/>
    <w:basedOn w:val="Normal"/>
    <w:next w:val="BodyText"/>
    <w:link w:val="LEGALBL2Char"/>
    <w:pPr>
      <w:numPr>
        <w:ilvl w:val="1"/>
        <w:numId w:val="1"/>
      </w:numPr>
      <w:spacing w:after="240"/>
      <w:jc w:val="both"/>
      <w:outlineLvl w:val="1"/>
    </w:pPr>
    <w:rPr>
      <w:rFonts w:eastAsia="SimSun"/>
      <w:sz w:val="22"/>
      <w:szCs w:val="20"/>
    </w:rPr>
  </w:style>
  <w:style w:type="character" w:styleId="LEGALBL2Char" w:customStyle="1">
    <w:name w:val="LEGALB_L2 Char"/>
    <w:basedOn w:val="DefaultParagraphFont"/>
    <w:link w:val="LEGALBL2"/>
    <w:rPr>
      <w:rFonts w:ascii="Times New Roman" w:hAnsi="Times New Roman" w:eastAsia="SimSun" w:cs="Times New Roman"/>
      <w:szCs w:val="20"/>
    </w:rPr>
  </w:style>
  <w:style w:type="paragraph" w:styleId="LEGALBL3" w:customStyle="1">
    <w:name w:val="LEGALB_L3"/>
    <w:basedOn w:val="Normal"/>
    <w:next w:val="BodyText"/>
    <w:link w:val="LEGALBL3Char"/>
    <w:pPr>
      <w:numPr>
        <w:ilvl w:val="2"/>
        <w:numId w:val="1"/>
      </w:numPr>
      <w:spacing w:after="240"/>
      <w:jc w:val="both"/>
      <w:outlineLvl w:val="2"/>
    </w:pPr>
    <w:rPr>
      <w:rFonts w:eastAsia="SimSun"/>
      <w:sz w:val="22"/>
      <w:szCs w:val="20"/>
    </w:rPr>
  </w:style>
  <w:style w:type="character" w:styleId="LEGALBL3Char" w:customStyle="1">
    <w:name w:val="LEGALB_L3 Char"/>
    <w:basedOn w:val="DefaultParagraphFont"/>
    <w:link w:val="LEGALBL3"/>
    <w:rPr>
      <w:rFonts w:ascii="Times New Roman" w:hAnsi="Times New Roman" w:eastAsia="SimSun" w:cs="Times New Roman"/>
      <w:szCs w:val="20"/>
    </w:rPr>
  </w:style>
  <w:style w:type="paragraph" w:styleId="LEGALBL4" w:customStyle="1">
    <w:name w:val="LEGALB_L4"/>
    <w:basedOn w:val="Normal"/>
    <w:next w:val="BodyText"/>
    <w:link w:val="LEGALBL4Char"/>
    <w:pPr>
      <w:numPr>
        <w:ilvl w:val="3"/>
        <w:numId w:val="1"/>
      </w:numPr>
      <w:spacing w:after="240"/>
      <w:jc w:val="both"/>
      <w:outlineLvl w:val="3"/>
    </w:pPr>
    <w:rPr>
      <w:rFonts w:eastAsia="SimSun"/>
      <w:sz w:val="22"/>
      <w:szCs w:val="20"/>
    </w:rPr>
  </w:style>
  <w:style w:type="character" w:styleId="LEGALBL4Char" w:customStyle="1">
    <w:name w:val="LEGALB_L4 Char"/>
    <w:basedOn w:val="DefaultParagraphFont"/>
    <w:link w:val="LEGALBL4"/>
    <w:rPr>
      <w:rFonts w:ascii="Times New Roman" w:hAnsi="Times New Roman" w:eastAsia="SimSun" w:cs="Times New Roman"/>
      <w:szCs w:val="20"/>
    </w:rPr>
  </w:style>
  <w:style w:type="paragraph" w:styleId="LEGALBL5" w:customStyle="1">
    <w:name w:val="LEGALB_L5"/>
    <w:basedOn w:val="Normal"/>
    <w:next w:val="BodyText"/>
    <w:link w:val="LEGALBL5Char"/>
    <w:pPr>
      <w:numPr>
        <w:ilvl w:val="4"/>
        <w:numId w:val="1"/>
      </w:numPr>
      <w:spacing w:after="240"/>
      <w:jc w:val="both"/>
      <w:outlineLvl w:val="4"/>
    </w:pPr>
    <w:rPr>
      <w:rFonts w:eastAsia="SimSun"/>
      <w:sz w:val="22"/>
      <w:szCs w:val="20"/>
    </w:rPr>
  </w:style>
  <w:style w:type="character" w:styleId="LEGALBL5Char" w:customStyle="1">
    <w:name w:val="LEGALB_L5 Char"/>
    <w:basedOn w:val="DefaultParagraphFont"/>
    <w:link w:val="LEGALBL5"/>
    <w:rPr>
      <w:rFonts w:ascii="Times New Roman" w:hAnsi="Times New Roman" w:eastAsia="SimSun" w:cs="Times New Roman"/>
      <w:szCs w:val="20"/>
    </w:rPr>
  </w:style>
  <w:style w:type="paragraph" w:styleId="LEGALBL6" w:customStyle="1">
    <w:name w:val="LEGALB_L6"/>
    <w:basedOn w:val="LEGALBL5"/>
    <w:next w:val="BodyText"/>
    <w:link w:val="LEGALBL6Char"/>
    <w:pPr>
      <w:numPr>
        <w:ilvl w:val="5"/>
      </w:numPr>
      <w:outlineLvl w:val="5"/>
    </w:pPr>
  </w:style>
  <w:style w:type="character" w:styleId="LEGALBL6Char" w:customStyle="1">
    <w:name w:val="LEGALB_L6 Char"/>
    <w:basedOn w:val="DefaultParagraphFont"/>
    <w:link w:val="LEGALBL6"/>
    <w:rPr>
      <w:rFonts w:ascii="Times New Roman" w:hAnsi="Times New Roman" w:eastAsia="SimSun" w:cs="Times New Roman"/>
      <w:szCs w:val="20"/>
    </w:rPr>
  </w:style>
  <w:style w:type="paragraph" w:styleId="LEGALBL7" w:customStyle="1">
    <w:name w:val="LEGALB_L7"/>
    <w:basedOn w:val="LEGALBL6"/>
    <w:next w:val="BodyText"/>
    <w:link w:val="LEGALBL7Char"/>
    <w:pPr>
      <w:numPr>
        <w:ilvl w:val="6"/>
      </w:numPr>
      <w:outlineLvl w:val="6"/>
    </w:pPr>
  </w:style>
  <w:style w:type="character" w:styleId="LEGALBL7Char" w:customStyle="1">
    <w:name w:val="LEGALB_L7 Char"/>
    <w:basedOn w:val="DefaultParagraphFont"/>
    <w:link w:val="LEGALBL7"/>
    <w:rPr>
      <w:rFonts w:ascii="Times New Roman" w:hAnsi="Times New Roman" w:eastAsia="SimSun" w:cs="Times New Roman"/>
      <w:szCs w:val="20"/>
    </w:rPr>
  </w:style>
  <w:style w:type="paragraph" w:styleId="LEGALBL8" w:customStyle="1">
    <w:name w:val="LEGALB_L8"/>
    <w:basedOn w:val="LEGALBL7"/>
    <w:next w:val="BodyText"/>
    <w:link w:val="LEGALBL8Char"/>
    <w:pPr>
      <w:numPr>
        <w:ilvl w:val="7"/>
      </w:numPr>
      <w:outlineLvl w:val="7"/>
    </w:pPr>
  </w:style>
  <w:style w:type="character" w:styleId="LEGALBL8Char" w:customStyle="1">
    <w:name w:val="LEGALB_L8 Char"/>
    <w:basedOn w:val="DefaultParagraphFont"/>
    <w:link w:val="LEGALBL8"/>
    <w:rPr>
      <w:rFonts w:ascii="Times New Roman" w:hAnsi="Times New Roman" w:eastAsia="SimSun" w:cs="Times New Roman"/>
      <w:szCs w:val="20"/>
    </w:rPr>
  </w:style>
  <w:style w:type="paragraph" w:styleId="LEGALBL9" w:customStyle="1">
    <w:name w:val="LEGALB_L9"/>
    <w:basedOn w:val="LEGALBL8"/>
    <w:next w:val="BodyText"/>
    <w:link w:val="LEGALBL9Char"/>
    <w:pPr>
      <w:numPr>
        <w:ilvl w:val="8"/>
      </w:numPr>
      <w:outlineLvl w:val="8"/>
    </w:pPr>
  </w:style>
  <w:style w:type="character" w:styleId="LEGALBL9Char" w:customStyle="1">
    <w:name w:val="LEGALB_L9 Char"/>
    <w:basedOn w:val="DefaultParagraphFont"/>
    <w:link w:val="LEGALBL9"/>
    <w:rPr>
      <w:rFonts w:ascii="Times New Roman" w:hAnsi="Times New Roman" w:eastAsia="SimSun" w:cs="Times New Roman"/>
      <w:szCs w:val="20"/>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unhideWhenUsed/>
  </w:style>
  <w:style w:type="character" w:styleId="zzmpTrailerItem" w:customStyle="1">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FBFCont1" w:customStyle="1">
    <w:name w:val="FBF Cont 1"/>
    <w:basedOn w:val="Normal"/>
    <w:next w:val="BodyText"/>
    <w:link w:val="FBFCont1Char"/>
    <w:pPr>
      <w:keepNext/>
      <w:tabs>
        <w:tab w:val="left" w:pos="1134"/>
      </w:tabs>
      <w:spacing w:after="240"/>
      <w:ind w:left="1134"/>
      <w:jc w:val="both"/>
    </w:pPr>
    <w:rPr>
      <w:rFonts w:eastAsia="SimSun"/>
      <w:sz w:val="22"/>
    </w:rPr>
  </w:style>
  <w:style w:type="character" w:styleId="FBFCont1Char" w:customStyle="1">
    <w:name w:val="FBF Cont 1 Char"/>
    <w:basedOn w:val="DefaultParagraphFont"/>
    <w:link w:val="FBFCont1"/>
    <w:rPr>
      <w:rFonts w:ascii="Times New Roman" w:hAnsi="Times New Roman" w:eastAsia="SimSun" w:cs="Times New Roman"/>
      <w:szCs w:val="24"/>
    </w:rPr>
  </w:style>
  <w:style w:type="paragraph" w:styleId="FBFCont2" w:customStyle="1">
    <w:name w:val="FBF Cont 2"/>
    <w:basedOn w:val="Normal"/>
    <w:next w:val="BodyText"/>
    <w:link w:val="FBFCont2Char"/>
    <w:pPr>
      <w:tabs>
        <w:tab w:val="left" w:pos="720"/>
      </w:tabs>
      <w:spacing w:after="240"/>
      <w:ind w:left="1134"/>
      <w:jc w:val="both"/>
    </w:pPr>
    <w:rPr>
      <w:rFonts w:eastAsia="SimSun"/>
      <w:sz w:val="22"/>
      <w:szCs w:val="20"/>
    </w:rPr>
  </w:style>
  <w:style w:type="character" w:styleId="FBFCont2Char" w:customStyle="1">
    <w:name w:val="FBF Cont 2 Char"/>
    <w:basedOn w:val="DefaultParagraphFont"/>
    <w:link w:val="FBFCont2"/>
    <w:rPr>
      <w:rFonts w:ascii="Times New Roman" w:hAnsi="Times New Roman" w:eastAsia="SimSun" w:cs="Times New Roman"/>
      <w:szCs w:val="20"/>
    </w:rPr>
  </w:style>
  <w:style w:type="paragraph" w:styleId="FBFCont3" w:customStyle="1">
    <w:name w:val="FBF Cont 3"/>
    <w:basedOn w:val="Normal"/>
    <w:next w:val="BodyText"/>
    <w:link w:val="FBFCont3Char"/>
    <w:pPr>
      <w:tabs>
        <w:tab w:val="left" w:pos="1440"/>
      </w:tabs>
      <w:spacing w:after="240"/>
      <w:ind w:left="1134"/>
      <w:jc w:val="both"/>
    </w:pPr>
    <w:rPr>
      <w:rFonts w:eastAsia="SimSun"/>
      <w:sz w:val="22"/>
      <w:szCs w:val="20"/>
    </w:rPr>
  </w:style>
  <w:style w:type="character" w:styleId="FBFCont3Char" w:customStyle="1">
    <w:name w:val="FBF Cont 3 Char"/>
    <w:basedOn w:val="DefaultParagraphFont"/>
    <w:link w:val="FBFCont3"/>
    <w:rPr>
      <w:rFonts w:ascii="Times New Roman" w:hAnsi="Times New Roman" w:eastAsia="SimSun" w:cs="Times New Roman"/>
      <w:szCs w:val="20"/>
    </w:rPr>
  </w:style>
  <w:style w:type="paragraph" w:styleId="FBFCont4" w:customStyle="1">
    <w:name w:val="FBF Cont 4"/>
    <w:basedOn w:val="Normal"/>
    <w:next w:val="BodyText"/>
    <w:link w:val="FBFCont4Char"/>
    <w:pPr>
      <w:tabs>
        <w:tab w:val="left" w:pos="2520"/>
      </w:tabs>
      <w:spacing w:after="240"/>
      <w:ind w:left="2268"/>
      <w:jc w:val="both"/>
    </w:pPr>
    <w:rPr>
      <w:rFonts w:eastAsia="SimSun"/>
      <w:sz w:val="22"/>
      <w:szCs w:val="20"/>
    </w:rPr>
  </w:style>
  <w:style w:type="character" w:styleId="FBFCont4Char" w:customStyle="1">
    <w:name w:val="FBF Cont 4 Char"/>
    <w:basedOn w:val="DefaultParagraphFont"/>
    <w:link w:val="FBFCont4"/>
    <w:rPr>
      <w:rFonts w:ascii="Times New Roman" w:hAnsi="Times New Roman" w:eastAsia="SimSun" w:cs="Times New Roman"/>
      <w:szCs w:val="20"/>
    </w:rPr>
  </w:style>
  <w:style w:type="paragraph" w:styleId="FBFL1" w:customStyle="1">
    <w:name w:val="FBF_L1"/>
    <w:basedOn w:val="Normal"/>
    <w:next w:val="BodyText"/>
    <w:link w:val="FBFL1Char"/>
    <w:pPr>
      <w:keepNext/>
      <w:numPr>
        <w:numId w:val="17"/>
      </w:numPr>
      <w:spacing w:after="240"/>
      <w:jc w:val="both"/>
      <w:outlineLvl w:val="0"/>
    </w:pPr>
    <w:rPr>
      <w:rFonts w:eastAsia="SimSun"/>
      <w:b/>
      <w:caps/>
      <w:sz w:val="22"/>
      <w:szCs w:val="20"/>
      <w:u w:val="single"/>
    </w:rPr>
  </w:style>
  <w:style w:type="character" w:styleId="FBFL1Char" w:customStyle="1">
    <w:name w:val="FBF_L1 Char"/>
    <w:basedOn w:val="DefaultParagraphFont"/>
    <w:link w:val="FBFL1"/>
    <w:rPr>
      <w:rFonts w:ascii="Times New Roman" w:hAnsi="Times New Roman" w:eastAsia="SimSun" w:cs="Times New Roman"/>
      <w:b/>
      <w:caps/>
      <w:szCs w:val="20"/>
      <w:u w:val="single"/>
    </w:rPr>
  </w:style>
  <w:style w:type="paragraph" w:styleId="FBFL2" w:customStyle="1">
    <w:name w:val="FBF_L2"/>
    <w:basedOn w:val="Normal"/>
    <w:next w:val="BodyText"/>
    <w:link w:val="FBFL2Char"/>
    <w:pPr>
      <w:keepNext/>
      <w:numPr>
        <w:ilvl w:val="1"/>
        <w:numId w:val="17"/>
      </w:numPr>
      <w:spacing w:after="240"/>
      <w:jc w:val="both"/>
      <w:outlineLvl w:val="1"/>
    </w:pPr>
    <w:rPr>
      <w:rFonts w:eastAsia="SimSun"/>
      <w:sz w:val="22"/>
      <w:szCs w:val="20"/>
    </w:rPr>
  </w:style>
  <w:style w:type="character" w:styleId="FBFL2Char" w:customStyle="1">
    <w:name w:val="FBF_L2 Char"/>
    <w:basedOn w:val="DefaultParagraphFont"/>
    <w:link w:val="FBFL2"/>
    <w:rPr>
      <w:rFonts w:ascii="Times New Roman" w:hAnsi="Times New Roman" w:eastAsia="SimSun" w:cs="Times New Roman"/>
      <w:szCs w:val="20"/>
    </w:rPr>
  </w:style>
  <w:style w:type="paragraph" w:styleId="FBFL3" w:customStyle="1">
    <w:name w:val="FBF_L3"/>
    <w:basedOn w:val="Normal"/>
    <w:next w:val="BodyText"/>
    <w:link w:val="FBFL3Char"/>
    <w:pPr>
      <w:numPr>
        <w:ilvl w:val="2"/>
        <w:numId w:val="17"/>
      </w:numPr>
      <w:spacing w:after="240"/>
      <w:jc w:val="both"/>
      <w:outlineLvl w:val="2"/>
    </w:pPr>
    <w:rPr>
      <w:rFonts w:eastAsia="SimSun"/>
      <w:sz w:val="22"/>
      <w:szCs w:val="20"/>
    </w:rPr>
  </w:style>
  <w:style w:type="character" w:styleId="FBFL3Char" w:customStyle="1">
    <w:name w:val="FBF_L3 Char"/>
    <w:basedOn w:val="DefaultParagraphFont"/>
    <w:link w:val="FBFL3"/>
    <w:rPr>
      <w:rFonts w:ascii="Times New Roman" w:hAnsi="Times New Roman" w:eastAsia="SimSun" w:cs="Times New Roman"/>
      <w:szCs w:val="20"/>
    </w:rPr>
  </w:style>
  <w:style w:type="paragraph" w:styleId="FBFL4" w:customStyle="1">
    <w:name w:val="FBF_L4"/>
    <w:basedOn w:val="Normal"/>
    <w:next w:val="BodyText"/>
    <w:link w:val="FBFL4Char"/>
    <w:pPr>
      <w:numPr>
        <w:ilvl w:val="3"/>
        <w:numId w:val="17"/>
      </w:numPr>
      <w:spacing w:after="240"/>
      <w:jc w:val="both"/>
      <w:outlineLvl w:val="3"/>
    </w:pPr>
    <w:rPr>
      <w:rFonts w:eastAsia="SimSun"/>
      <w:sz w:val="22"/>
      <w:szCs w:val="20"/>
    </w:rPr>
  </w:style>
  <w:style w:type="character" w:styleId="FBFL4Char" w:customStyle="1">
    <w:name w:val="FBF_L4 Char"/>
    <w:basedOn w:val="DefaultParagraphFont"/>
    <w:link w:val="FBFL4"/>
    <w:rPr>
      <w:rFonts w:ascii="Times New Roman" w:hAnsi="Times New Roman" w:eastAsia="SimSu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1098</Words>
  <Characters>6200</Characters>
  <Application>
  </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1900-01-01T05:00:00Z</dcterms:created>
  <dcterms:modified xsi:type="dcterms:W3CDTF">1900-01-01T05:00:00Z</dcterms:modified>
</cp:coreProperties>
</file>