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cs="Times New Roman"/>
          <w:b/>
          <w:bCs/>
        </w:rPr>
      </w:pPr>
      <w:bookmarkStart w:name="_GoBack" w:id="0"/>
      <w:bookmarkEnd w:id="0"/>
      <w:r>
        <w:rPr>
          <w:rFonts w:cs="Times New Roman"/>
          <w:b/>
          <w:bCs/>
        </w:rPr>
        <w:t>AVENANT A LA CONVENTION-CADRE [FBF [2001/2007/2013] RELATIVE AUX OPÉRATIONS SUR INSTRUMENTS FINANCIERS À TERME] / [AFB 1994 RELATIVE AUX OPÉRATIONS DE MARCHÉ À TERME]</w:t>
      </w:r>
      <w:r>
        <w:rPr>
          <w:rFonts w:cs="Times New Roman"/>
          <w:b/>
          <w:bCs/>
        </w:rPr>
        <w:br/>
        <w:t>EN DATE DU [•]</w:t>
      </w:r>
    </w:p>
    <w:p>
      <w:pPr>
        <w:jc w:val="both"/>
        <w:rPr>
          <w:rFonts w:cs="Times New Roman"/>
        </w:rPr>
      </w:pPr>
      <w:r>
        <w:rPr>
          <w:rFonts w:cs="Times New Roman"/>
        </w:rPr>
        <w:t>Entre</w:t>
      </w:r>
    </w:p>
    <w:p>
      <w:pPr>
        <w:jc w:val="both"/>
        <w:rPr>
          <w:rFonts w:cs="Times New Roman"/>
        </w:rPr>
      </w:pPr>
      <w:r>
        <w:rPr>
          <w:rFonts w:cs="Times New Roman"/>
          <w:b/>
          <w:bCs/>
        </w:rPr>
        <w:t>[</w:t>
      </w:r>
      <w:r>
        <w:rPr>
          <w:rFonts w:cs="Times New Roman"/>
          <w:b/>
          <w:bCs/>
        </w:rPr>
        <w:sym w:font="Symbol" w:char="F0B7"/>
      </w:r>
      <w:r>
        <w:rPr>
          <w:rFonts w:cs="Times New Roman"/>
          <w:b/>
          <w:bCs/>
        </w:rPr>
        <w:t>]</w:t>
      </w:r>
      <w:r>
        <w:rPr>
          <w:rFonts w:cs="Times New Roman"/>
        </w:rPr>
        <w:t>, [forme sociale] ayant son siège social [</w:t>
      </w:r>
      <w:r>
        <w:rPr>
          <w:rFonts w:cs="Times New Roman"/>
        </w:rPr>
        <w:sym w:font="Symbol" w:char="F0B7"/>
      </w:r>
      <w:r>
        <w:rPr>
          <w:rFonts w:cs="Times New Roman"/>
        </w:rPr>
        <w:t>], immatriculée [au Registre du commerce et des sociétés de [</w:t>
      </w:r>
      <w:r>
        <w:rPr>
          <w:rFonts w:cs="Times New Roman"/>
        </w:rPr>
        <w:sym w:font="Symbol" w:char="F0B7"/>
      </w:r>
      <w:r>
        <w:rPr>
          <w:rFonts w:cs="Times New Roman"/>
        </w:rPr>
        <w:t>] sous le numéro [</w:t>
      </w:r>
      <w:r>
        <w:rPr>
          <w:rFonts w:cs="Times New Roman"/>
        </w:rPr>
        <w:sym w:font="Symbol" w:char="F0B7"/>
      </w:r>
      <w:r>
        <w:rPr>
          <w:rFonts w:cs="Times New Roman"/>
        </w:rPr>
        <w:t>]], représentée par une personne dûment habilitée aux fins des présentes ("</w:t>
      </w:r>
      <w:r>
        <w:rPr>
          <w:rFonts w:cs="Times New Roman"/>
          <w:b/>
          <w:bCs/>
        </w:rPr>
        <w:t>Partie A</w:t>
      </w:r>
      <w:r>
        <w:rPr>
          <w:rFonts w:cs="Times New Roman"/>
        </w:rPr>
        <w:t>") ;</w:t>
      </w:r>
    </w:p>
    <w:p>
      <w:pPr>
        <w:jc w:val="both"/>
        <w:rPr>
          <w:rFonts w:cs="Times New Roman"/>
        </w:rPr>
      </w:pPr>
      <w:r>
        <w:rPr>
          <w:rFonts w:cs="Times New Roman"/>
        </w:rPr>
        <w:t>et</w:t>
      </w:r>
    </w:p>
    <w:p>
      <w:pPr>
        <w:jc w:val="both"/>
        <w:rPr>
          <w:rFonts w:cs="Times New Roman"/>
        </w:rPr>
      </w:pPr>
      <w:r>
        <w:rPr>
          <w:rFonts w:cs="Times New Roman"/>
          <w:b/>
          <w:bCs/>
        </w:rPr>
        <w:t>[</w:t>
      </w:r>
      <w:r>
        <w:rPr>
          <w:rFonts w:cs="Times New Roman"/>
          <w:b/>
          <w:bCs/>
        </w:rPr>
        <w:sym w:font="Symbol" w:char="F0B7"/>
      </w:r>
      <w:r>
        <w:rPr>
          <w:rFonts w:cs="Times New Roman"/>
          <w:b/>
          <w:bCs/>
        </w:rPr>
        <w:t>]</w:t>
      </w:r>
      <w:r>
        <w:rPr>
          <w:rFonts w:cs="Times New Roman"/>
        </w:rPr>
        <w:t>, [forme sociale] ayant son siège social [</w:t>
      </w:r>
      <w:r>
        <w:rPr>
          <w:rFonts w:cs="Times New Roman"/>
        </w:rPr>
        <w:sym w:font="Symbol" w:char="F0B7"/>
      </w:r>
      <w:r>
        <w:rPr>
          <w:rFonts w:cs="Times New Roman"/>
        </w:rPr>
        <w:t>], immatriculée [au Registre du commerce et des sociétés de [</w:t>
      </w:r>
      <w:r>
        <w:rPr>
          <w:rFonts w:cs="Times New Roman"/>
        </w:rPr>
        <w:sym w:font="Symbol" w:char="F0B7"/>
      </w:r>
      <w:r>
        <w:rPr>
          <w:rFonts w:cs="Times New Roman"/>
        </w:rPr>
        <w:t>] sous le numéro [</w:t>
      </w:r>
      <w:r>
        <w:rPr>
          <w:rFonts w:cs="Times New Roman"/>
        </w:rPr>
        <w:sym w:font="Symbol" w:char="F0B7"/>
      </w:r>
      <w:r>
        <w:rPr>
          <w:rFonts w:cs="Times New Roman"/>
        </w:rPr>
        <w:t>]], représentée par une personne dûment habilitée aux fins des présentes ("</w:t>
      </w:r>
      <w:r>
        <w:rPr>
          <w:rFonts w:cs="Times New Roman"/>
          <w:b/>
          <w:bCs/>
        </w:rPr>
        <w:t>Partie B</w:t>
      </w:r>
      <w:r>
        <w:rPr>
          <w:rFonts w:cs="Times New Roman"/>
        </w:rPr>
        <w:t>" et, avec Partie A, les "</w:t>
      </w:r>
      <w:r>
        <w:rPr>
          <w:rFonts w:cs="Times New Roman"/>
          <w:b/>
          <w:bCs/>
        </w:rPr>
        <w:t>Parties</w:t>
      </w:r>
      <w:r>
        <w:rPr>
          <w:rFonts w:cs="Times New Roman"/>
        </w:rPr>
        <w:t>") ;</w:t>
      </w:r>
    </w:p>
    <w:p>
      <w:pPr>
        <w:jc w:val="both"/>
        <w:rPr>
          <w:rFonts w:cs="Times New Roman"/>
        </w:rPr>
      </w:pPr>
    </w:p>
    <w:p>
      <w:pPr>
        <w:jc w:val="both"/>
        <w:rPr>
          <w:rFonts w:cs="Times New Roman"/>
          <w:b/>
          <w:bCs/>
        </w:rPr>
      </w:pPr>
      <w:r>
        <w:rPr>
          <w:rFonts w:cs="Times New Roman"/>
          <w:b/>
          <w:bCs/>
        </w:rPr>
        <w:t>ETANT ENTENDU QUE :</w:t>
      </w:r>
    </w:p>
    <w:p>
      <w:pPr>
        <w:ind w:left="567" w:hanging="567"/>
        <w:jc w:val="both"/>
        <w:rPr>
          <w:rFonts w:cs="Times New Roman"/>
        </w:rPr>
      </w:pPr>
      <w:r>
        <w:rPr>
          <w:rFonts w:cs="Times New Roman"/>
        </w:rPr>
        <w:t>(A)</w:t>
      </w:r>
      <w:r>
        <w:rPr>
          <w:rFonts w:cs="Times New Roman"/>
        </w:rPr>
        <w:tab/>
        <w:t>Les Parties ont conclu le [</w:t>
      </w:r>
      <w:r>
        <w:rPr>
          <w:rFonts w:cs="Times New Roman"/>
        </w:rPr>
        <w:sym w:font="Symbol" w:char="F0B7"/>
      </w:r>
      <w:r>
        <w:rPr>
          <w:rFonts w:cs="Times New Roman"/>
        </w:rPr>
        <w:t>] une [Convention-cadre relative aux opérations sur instruments financiers à terme (version [2001/2007/2013]) publiée par la Fédération Bancaire Française ("</w:t>
      </w:r>
      <w:r>
        <w:rPr>
          <w:rFonts w:cs="Times New Roman"/>
          <w:b/>
        </w:rPr>
        <w:t>FBF</w:t>
      </w:r>
      <w:r>
        <w:rPr>
          <w:rFonts w:cs="Times New Roman"/>
        </w:rPr>
        <w:t>")]/[Convention-cadre relative aux opérations de marché à terme (version 1994) publiée par l'Association Française des Banques ("</w:t>
      </w:r>
      <w:r>
        <w:rPr>
          <w:rFonts w:cs="Times New Roman"/>
          <w:b/>
        </w:rPr>
        <w:t>AFB</w:t>
      </w:r>
      <w:r>
        <w:rPr>
          <w:rFonts w:cs="Times New Roman"/>
        </w:rPr>
        <w:t>")], telle que complétée et/ou modifiée par son Annexe et, le cas échéant, telle que modifiée par la suite (la "</w:t>
      </w:r>
      <w:r>
        <w:rPr>
          <w:rFonts w:cs="Times New Roman"/>
          <w:b/>
        </w:rPr>
        <w:t>Convention</w:t>
      </w:r>
      <w:r>
        <w:rPr>
          <w:rFonts w:cs="Times New Roman"/>
        </w:rPr>
        <w:t xml:space="preserve">"). </w:t>
      </w:r>
    </w:p>
    <w:p>
      <w:pPr>
        <w:ind w:left="567" w:hanging="567"/>
        <w:jc w:val="both"/>
        <w:rPr>
          <w:rFonts w:cs="Times New Roman"/>
        </w:rPr>
      </w:pPr>
      <w:r>
        <w:rPr>
          <w:rFonts w:cs="Times New Roman"/>
        </w:rPr>
        <w:t>(B)</w:t>
      </w:r>
      <w:r>
        <w:rPr>
          <w:rFonts w:cs="Times New Roman"/>
        </w:rPr>
        <w:tab/>
        <w:t>Le 19 septembre 2018, l'</w:t>
      </w:r>
      <w:r>
        <w:rPr>
          <w:rFonts w:cs="Times New Roman"/>
          <w:i/>
        </w:rPr>
        <w:t>International Swaps and Derivatives Association, Inc.</w:t>
      </w:r>
      <w:r>
        <w:rPr>
          <w:rFonts w:cs="Times New Roman"/>
        </w:rPr>
        <w:t xml:space="preserve"> (l'"</w:t>
      </w:r>
      <w:r>
        <w:rPr>
          <w:rFonts w:cs="Times New Roman"/>
          <w:b/>
        </w:rPr>
        <w:t>ISDA</w:t>
      </w:r>
      <w:r>
        <w:rPr>
          <w:rFonts w:cs="Times New Roman"/>
        </w:rPr>
        <w:t>"®</w:t>
      </w:r>
      <w:r>
        <w:rPr>
          <w:rStyle w:val="FootnoteReference"/>
          <w:rFonts w:cs="Times New Roman"/>
        </w:rPr>
        <w:footnoteReference w:id="1"/>
      </w:r>
      <w:r>
        <w:rPr>
          <w:rFonts w:cs="Times New Roman"/>
        </w:rPr>
        <w:t>) a publié l'ISDA Benchmarks Supplement pour permettre aux parties d'inclure de nouvelles stipulations dans les confirmations qui font référence aux Définitions ISDA (tel que ces termes sont définis ci-dessous), principalement afin de répondre à certaines exigences du 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2014/17/UE et le règlement (UE) 596/2014.</w:t>
      </w:r>
    </w:p>
    <w:p>
      <w:pPr>
        <w:ind w:left="567" w:hanging="567"/>
        <w:jc w:val="both"/>
        <w:rPr>
          <w:rFonts w:cs="Times New Roman"/>
        </w:rPr>
      </w:pPr>
      <w:r>
        <w:rPr>
          <w:rFonts w:cs="Times New Roman"/>
        </w:rPr>
        <w:t>(C)</w:t>
      </w:r>
      <w:r>
        <w:rPr>
          <w:rFonts w:cs="Times New Roman"/>
        </w:rPr>
        <w:tab/>
        <w:t>Le [</w:t>
      </w:r>
      <w:r>
        <w:rPr>
          <w:rFonts w:ascii="Symbol" w:hAnsi="Symbol" w:cs="Times New Roman"/>
        </w:rPr>
        <w:sym w:font="Symbol" w:char="F0B7"/>
      </w:r>
      <w:r>
        <w:rPr>
          <w:rFonts w:cs="Times New Roman"/>
        </w:rPr>
        <w:t xml:space="preserve">], la FBF a publié un modèle de clause ayant pour effet d'intégrer par référence les stipulations de l'ISDA Benchmarks Supplement dans des conventions-cadre publiées par la FBF </w:t>
      </w:r>
      <w:r>
        <w:rPr>
          <w:rFonts w:cs="Times New Roman"/>
        </w:rPr>
        <w:lastRenderedPageBreak/>
        <w:t>ou l'AFB ou, le cas échéant, des confirmations régies par ces conventions, incorporant par référence les Définitions ISDA.</w:t>
      </w:r>
    </w:p>
    <w:p>
      <w:pPr>
        <w:ind w:left="567" w:hanging="567"/>
        <w:jc w:val="both"/>
        <w:rPr>
          <w:rFonts w:cs="Times New Roman"/>
        </w:rPr>
      </w:pPr>
      <w:r>
        <w:rPr>
          <w:rFonts w:cs="Times New Roman"/>
        </w:rPr>
        <w:t>(D)</w:t>
      </w:r>
      <w:r>
        <w:rPr>
          <w:rFonts w:cs="Times New Roman"/>
        </w:rPr>
        <w:tab/>
        <w:t xml:space="preserve">Par le présent Avenant, les Parties souhaitent modifier la Convention afin d'y intégrer le modèle de clause publié par la FBF. </w:t>
      </w:r>
    </w:p>
    <w:p>
      <w:pPr>
        <w:jc w:val="both"/>
        <w:rPr>
          <w:rFonts w:cs="Times New Roman"/>
        </w:rPr>
      </w:pPr>
      <w:r>
        <w:rPr>
          <w:rFonts w:cs="Times New Roman"/>
        </w:rPr>
        <w:t>Les termes commençant par une majuscule utilisés dans le présent Avenant et qui n'y sont pas définis auront le sens qui leur est attribué dans la Convention.</w:t>
      </w:r>
    </w:p>
    <w:p>
      <w:pPr>
        <w:keepNext/>
        <w:keepLines/>
        <w:jc w:val="both"/>
        <w:rPr>
          <w:rFonts w:cs="Times New Roman"/>
          <w:b/>
          <w:bCs/>
        </w:rPr>
      </w:pPr>
      <w:r>
        <w:rPr>
          <w:rFonts w:cs="Times New Roman"/>
          <w:b/>
          <w:bCs/>
        </w:rPr>
        <w:t>EN CONSEQUENCE DE QUOI, IL EST CONVENU CE QUI SUIT :</w:t>
      </w:r>
    </w:p>
    <w:p>
      <w:pPr>
        <w:keepNext/>
        <w:keepLines/>
        <w:jc w:val="both"/>
        <w:rPr>
          <w:rFonts w:cs="Times New Roman"/>
          <w:b/>
          <w:bCs/>
          <w:caps/>
        </w:rPr>
      </w:pPr>
      <w:r>
        <w:rPr>
          <w:rFonts w:cs="Times New Roman"/>
          <w:b/>
          <w:bCs/>
          <w:caps/>
        </w:rPr>
        <w:t>1.</w:t>
      </w:r>
      <w:r>
        <w:rPr>
          <w:rFonts w:cs="Times New Roman"/>
          <w:b/>
          <w:bCs/>
          <w:caps/>
        </w:rPr>
        <w:tab/>
        <w:t>Modification de la Convention</w:t>
      </w:r>
    </w:p>
    <w:p>
      <w:pPr>
        <w:ind w:left="709"/>
        <w:jc w:val="both"/>
        <w:rPr>
          <w:rFonts w:cs="Times New Roman"/>
        </w:rPr>
      </w:pPr>
      <w:r>
        <w:rPr>
          <w:rFonts w:cs="Times New Roman"/>
        </w:rPr>
        <w:t>Les Parties conviennent de modifier la Convention en ajoutant le paragraphe suivant dans l'annexe à la Convention :</w:t>
      </w:r>
    </w:p>
    <w:p>
      <w:pPr>
        <w:pStyle w:val="FBFL1"/>
        <w:numPr>
          <w:ilvl w:val="0"/>
          <w:numId w:val="0"/>
        </w:numPr>
        <w:ind w:left="1843" w:hanging="1134"/>
        <w:rPr>
          <w:u w:val="none"/>
          <w:lang w:val="fr-FR"/>
        </w:rPr>
      </w:pPr>
      <w:r>
        <w:rPr>
          <w:b w:val="0"/>
          <w:u w:val="none"/>
        </w:rPr>
        <w:t>"</w:t>
      </w:r>
      <w:r>
        <w:rPr>
          <w:u w:val="none"/>
        </w:rPr>
        <w:t>[X]</w:t>
      </w:r>
      <w:r>
        <w:rPr>
          <w:u w:val="none"/>
        </w:rPr>
        <w:tab/>
      </w:r>
      <w:r>
        <w:t>ISDA</w:t>
      </w:r>
      <w:r>
        <w:rPr>
          <w:lang w:val="fr-FR"/>
        </w:rPr>
        <w:t xml:space="preserve"> Benchmarks Supplement</w:t>
      </w:r>
    </w:p>
    <w:p>
      <w:pPr>
        <w:pStyle w:val="FBFCont1"/>
        <w:rPr>
          <w:szCs w:val="22"/>
          <w:lang w:val="fr-FR"/>
        </w:rPr>
      </w:pPr>
      <w:r>
        <w:rPr>
          <w:szCs w:val="22"/>
          <w:lang w:val="fr-FR"/>
        </w:rPr>
        <w:t>L'</w:t>
      </w:r>
      <w:r>
        <w:rPr>
          <w:i/>
          <w:szCs w:val="22"/>
          <w:lang w:val="fr-FR"/>
        </w:rPr>
        <w:t>ISDA Benchmarks Supplement</w:t>
      </w:r>
      <w:r>
        <w:rPr>
          <w:szCs w:val="22"/>
          <w:lang w:val="fr-FR"/>
        </w:rPr>
        <w:t xml:space="preserve"> 2018 publié par l'ISDA, tel que modifié le cas échéant, (l'"</w:t>
      </w:r>
      <w:r>
        <w:rPr>
          <w:b/>
          <w:szCs w:val="22"/>
          <w:lang w:val="fr-FR"/>
        </w:rPr>
        <w:t>ISDA Benchmarks Supplement</w:t>
      </w:r>
      <w:r>
        <w:rPr>
          <w:szCs w:val="22"/>
          <w:lang w:val="fr-FR"/>
        </w:rPr>
        <w:t>") est, par les présentes, intégré par référence dans la Convention et en fait partie intégrante, sous réserve des modifications indiquées ci-dessous, et s'applique à l'ensemble des Transactions conclues entre les Parties [à compter du [</w:t>
      </w:r>
      <w:r>
        <w:sym w:font="Symbol" w:char="F0B7"/>
      </w:r>
      <w:r>
        <w:t>]</w:t>
      </w:r>
      <w:r>
        <w:rPr>
          <w:szCs w:val="22"/>
          <w:lang w:val="fr-FR"/>
        </w:rPr>
        <w:t>]</w:t>
      </w:r>
      <w:r>
        <w:rPr>
          <w:rStyle w:val="FootnoteReference"/>
          <w:szCs w:val="22"/>
          <w:lang w:val="fr-FR"/>
        </w:rPr>
        <w:footnoteReference w:id="2"/>
      </w:r>
      <w:r>
        <w:rPr>
          <w:szCs w:val="22"/>
          <w:lang w:val="fr-FR"/>
        </w:rPr>
        <w:t>.</w:t>
      </w:r>
    </w:p>
    <w:p>
      <w:pPr>
        <w:pStyle w:val="FBFCont1"/>
      </w:pPr>
      <w:r>
        <w:t xml:space="preserve">Si, à l'égard d'une ou de plusieurs Transaction(s) visée(s) ci-dessus, les Parties ont incorporé les </w:t>
      </w:r>
      <w:r>
        <w:rPr>
          <w:i/>
        </w:rPr>
        <w:t>2006 ISDA Definitions</w:t>
      </w:r>
      <w:r>
        <w:t xml:space="preserve">, les </w:t>
      </w:r>
      <w:r>
        <w:rPr>
          <w:i/>
        </w:rPr>
        <w:t>2002 Equity Definitions</w:t>
      </w:r>
      <w:r>
        <w:t xml:space="preserve">, les </w:t>
      </w:r>
      <w:r>
        <w:rPr>
          <w:i/>
        </w:rPr>
        <w:t>1998 FX Definitions</w:t>
      </w:r>
      <w:r>
        <w:t xml:space="preserve"> et/ou les </w:t>
      </w:r>
      <w:r>
        <w:rPr>
          <w:i/>
        </w:rPr>
        <w:t>2005</w:t>
      </w:r>
      <w:r>
        <w:t xml:space="preserve"> </w:t>
      </w:r>
      <w:r>
        <w:rPr>
          <w:i/>
        </w:rPr>
        <w:t>ISDA Commodity Definitions</w:t>
      </w:r>
      <w:r>
        <w:t xml:space="preserve"> (ensemble, les "</w:t>
      </w:r>
      <w:r>
        <w:rPr>
          <w:b/>
        </w:rPr>
        <w:t>Définitions ISDA</w:t>
      </w:r>
      <w:r>
        <w:t>"), telles que modifiées ou complétées le cas échéant, les stipulations du présent Article [X] s'appliquent pour les besoins de la ou des Transactions concernées ou, le cas échéant, de la partie de la Transaction pour laquelle les Définitions ISDA concernées sont applicables.</w:t>
      </w:r>
    </w:p>
    <w:p>
      <w:pPr>
        <w:pStyle w:val="FBFCont1"/>
      </w:pPr>
      <w:r>
        <w:t xml:space="preserve">[Si les Parties ont adhéré au </w:t>
      </w:r>
      <w:r>
        <w:rPr>
          <w:i/>
        </w:rPr>
        <w:t>ISDA 2018 Benchmarks Supplement Protocol</w:t>
      </w:r>
      <w:r>
        <w:t xml:space="preserve"> (le "</w:t>
      </w:r>
      <w:r>
        <w:rPr>
          <w:b/>
        </w:rPr>
        <w:t>Protocole</w:t>
      </w:r>
      <w:r>
        <w:t>") et ont échangé des questionnaires afin d'incorporer l'ISDA Benchmarks Supplement dans une ou plusieurs Confirmations, nonobstant toute stipulation contraire du Protocole, le Protocole ne s'appliquera pas à la ou aux Transactions concernées et les stipulations du présent Article [X] prévaudront pour lesdites Transactions.]</w:t>
      </w:r>
    </w:p>
    <w:p>
      <w:pPr>
        <w:pStyle w:val="FBFCont1"/>
        <w:rPr>
          <w:szCs w:val="22"/>
          <w:lang w:val="fr-FR"/>
        </w:rPr>
      </w:pPr>
      <w:r>
        <w:rPr>
          <w:szCs w:val="22"/>
          <w:lang w:val="fr-FR"/>
        </w:rPr>
        <w:t>Chaque Partie déclare et atteste à l'autre Partie (i) être en possession d'une copie de l'ISDA Benchmarks Supplement, (ii) avoir pris connaissance de l'ensemble des termes et conditions de l'ISDA Benchmarks Supplement et (iii) avoir procédé à sa propre analyse, le cas échéant avec ses propres conseils, des conséquences, juridiques, fiscales, comptables et réglementaires résultant de l'insertion par référence de ISDA Benchmarks Supplement.</w:t>
      </w:r>
    </w:p>
    <w:p>
      <w:pPr>
        <w:pStyle w:val="FBFCont1"/>
        <w:rPr>
          <w:szCs w:val="22"/>
          <w:lang w:val="fr-FR"/>
        </w:rPr>
      </w:pPr>
      <w:r>
        <w:rPr>
          <w:szCs w:val="22"/>
          <w:lang w:val="fr-FR"/>
        </w:rPr>
        <w:t>Tout terme en majuscule qui n'est pas défini dans le présent Article [X] a le sens qui lui est donné dans l'ISDA Benchmarks Supplement.</w:t>
      </w:r>
    </w:p>
    <w:p>
      <w:pPr>
        <w:pStyle w:val="FBFL2"/>
        <w:rPr>
          <w:b/>
          <w:bCs/>
          <w:szCs w:val="22"/>
        </w:rPr>
      </w:pPr>
      <w:r>
        <w:rPr>
          <w:b/>
          <w:bCs/>
          <w:szCs w:val="22"/>
        </w:rPr>
        <w:t>2006 Definitions Benchmarks Annex</w:t>
      </w:r>
    </w:p>
    <w:p>
      <w:pPr>
        <w:pStyle w:val="FBFL3"/>
        <w:rPr>
          <w:szCs w:val="22"/>
          <w:lang w:val="fr-FR"/>
        </w:rPr>
      </w:pPr>
      <w:r>
        <w:rPr>
          <w:szCs w:val="22"/>
          <w:lang w:val="fr-FR"/>
        </w:rPr>
        <w:t xml:space="preserve">Toute référence dans la </w:t>
      </w:r>
      <w:r>
        <w:rPr>
          <w:i/>
          <w:szCs w:val="22"/>
          <w:lang w:val="fr-FR"/>
        </w:rPr>
        <w:t>2006 Definitions Benchmarks Annex</w:t>
      </w:r>
      <w:r>
        <w:rPr>
          <w:szCs w:val="22"/>
          <w:lang w:val="fr-FR"/>
        </w:rPr>
        <w:t xml:space="preserve"> aux </w:t>
      </w:r>
      <w:r>
        <w:rPr>
          <w:i/>
          <w:szCs w:val="22"/>
          <w:lang w:val="fr-FR"/>
        </w:rPr>
        <w:t>2006 ISDA Definitions</w:t>
      </w:r>
      <w:r>
        <w:rPr>
          <w:szCs w:val="22"/>
          <w:lang w:val="fr-FR"/>
        </w:rPr>
        <w:t xml:space="preserve"> est réputée être une référence aux </w:t>
      </w:r>
      <w:r>
        <w:rPr>
          <w:i/>
          <w:szCs w:val="22"/>
          <w:lang w:val="fr-FR"/>
        </w:rPr>
        <w:t xml:space="preserve">2006 ISDA Definitions </w:t>
      </w:r>
      <w:r>
        <w:rPr>
          <w:szCs w:val="22"/>
          <w:lang w:val="fr-FR"/>
        </w:rPr>
        <w:t>telles que modifiées et complétées par les Parties, le cas échéant.</w:t>
      </w:r>
    </w:p>
    <w:p>
      <w:pPr>
        <w:pStyle w:val="FBFL3"/>
        <w:rPr>
          <w:szCs w:val="22"/>
          <w:lang w:val="fr-FR"/>
        </w:rPr>
      </w:pPr>
      <w:r>
        <w:rPr>
          <w:szCs w:val="22"/>
          <w:lang w:val="fr-FR"/>
        </w:rPr>
        <w:t xml:space="preserve">Nonobstant toute stipulation contraire de la </w:t>
      </w:r>
      <w:r>
        <w:rPr>
          <w:i/>
          <w:szCs w:val="22"/>
          <w:lang w:val="fr-FR"/>
        </w:rPr>
        <w:t>2006 Definitions Benchmarks Annex</w:t>
      </w:r>
      <w:r>
        <w:rPr>
          <w:szCs w:val="22"/>
          <w:lang w:val="fr-FR"/>
        </w:rPr>
        <w:t xml:space="preserve">, les termes et expressions suivants, mentionnés dans la </w:t>
      </w:r>
      <w:r>
        <w:rPr>
          <w:i/>
          <w:szCs w:val="22"/>
          <w:lang w:val="fr-FR"/>
        </w:rPr>
        <w:t>2006 Definitions Benchmarks Annex</w:t>
      </w:r>
      <w:r>
        <w:rPr>
          <w:szCs w:val="22"/>
          <w:lang w:val="fr-FR"/>
        </w:rPr>
        <w:t>, ont la signification suivante :</w:t>
      </w:r>
    </w:p>
    <w:p>
      <w:pPr>
        <w:pStyle w:val="FBFL4"/>
        <w:tabs>
          <w:tab w:val="clear" w:pos="1984"/>
          <w:tab w:val="num" w:pos="2694"/>
        </w:tabs>
        <w:ind w:left="2268" w:hanging="425"/>
        <w:rPr>
          <w:lang w:val="fr-FR"/>
        </w:rPr>
      </w:pPr>
      <w:r>
        <w:rPr>
          <w:bCs/>
          <w:lang w:val="fr-FR"/>
        </w:rPr>
        <w:t>"</w:t>
      </w:r>
      <w:r>
        <w:rPr>
          <w:b/>
          <w:bCs/>
          <w:lang w:val="fr-FR"/>
        </w:rPr>
        <w:t>Affiliate</w:t>
      </w:r>
      <w:r>
        <w:rPr>
          <w:lang w:val="fr-FR"/>
        </w:rPr>
        <w:t>" désigne, à l'égard de toute personne, toute entité contrôlée, directement ou indirectement, par cette personne, toute entité qui contrôle, directement ou indirectement, cette personne ou toute entité sous contrôle commun avec elle. A cette fin, on entend par "contrôle" d'une entité ou d'une personne la détention de la majorité des droits de vote de l'entité ou de la personne ;</w:t>
      </w:r>
    </w:p>
    <w:p>
      <w:pPr>
        <w:pStyle w:val="FBFL4"/>
        <w:tabs>
          <w:tab w:val="clear" w:pos="1984"/>
          <w:tab w:val="num" w:pos="2694"/>
        </w:tabs>
        <w:ind w:left="2268" w:hanging="425"/>
        <w:rPr>
          <w:lang w:val="fr-FR"/>
        </w:rPr>
      </w:pPr>
      <w:r>
        <w:rPr>
          <w:bCs/>
          <w:lang w:val="fr-FR"/>
        </w:rPr>
        <w:t>"</w:t>
      </w:r>
      <w:r>
        <w:rPr>
          <w:b/>
          <w:bCs/>
          <w:lang w:val="fr-FR"/>
        </w:rPr>
        <w:t xml:space="preserve">Local </w:t>
      </w:r>
      <w:r>
        <w:rPr>
          <w:b/>
        </w:rPr>
        <w:t>Business</w:t>
      </w:r>
      <w:r>
        <w:rPr>
          <w:b/>
          <w:bCs/>
          <w:lang w:val="fr-FR"/>
        </w:rPr>
        <w:t xml:space="preserve"> Day</w:t>
      </w:r>
      <w:r>
        <w:rPr>
          <w:lang w:val="fr-FR"/>
        </w:rPr>
        <w:t>" désigne un "Jour ouvré</w:t>
      </w:r>
      <w:r>
        <w:rPr>
          <w:bCs/>
          <w:lang w:val="fr-FR"/>
        </w:rPr>
        <w:t>" au</w:t>
      </w:r>
      <w:r>
        <w:rPr>
          <w:lang w:val="fr-FR"/>
        </w:rPr>
        <w:t xml:space="preserve"> sens de la Convention ; et</w:t>
      </w:r>
    </w:p>
    <w:p>
      <w:pPr>
        <w:pStyle w:val="FBFL4"/>
        <w:tabs>
          <w:tab w:val="clear" w:pos="1984"/>
          <w:tab w:val="num" w:pos="2694"/>
        </w:tabs>
        <w:ind w:left="2268" w:hanging="425"/>
        <w:rPr>
          <w:szCs w:val="22"/>
          <w:lang w:val="fr-FR"/>
        </w:rPr>
      </w:pPr>
      <w:r>
        <w:rPr>
          <w:bCs/>
          <w:szCs w:val="22"/>
          <w:lang w:val="fr-FR"/>
        </w:rPr>
        <w:t>"</w:t>
      </w:r>
      <w:r>
        <w:rPr>
          <w:b/>
          <w:bCs/>
          <w:szCs w:val="22"/>
          <w:lang w:val="fr-FR"/>
        </w:rPr>
        <w:t>party(ies)</w:t>
      </w:r>
      <w:r>
        <w:rPr>
          <w:szCs w:val="22"/>
          <w:lang w:val="fr-FR"/>
        </w:rPr>
        <w:t xml:space="preserve"> " </w:t>
      </w:r>
      <w:r>
        <w:rPr>
          <w:lang w:val="fr-FR"/>
        </w:rPr>
        <w:t>désigne</w:t>
      </w:r>
      <w:r>
        <w:rPr>
          <w:szCs w:val="22"/>
          <w:lang w:val="fr-FR"/>
        </w:rPr>
        <w:t xml:space="preserve"> la (les) "Partie(s)" au sens de la Convention. </w:t>
      </w:r>
    </w:p>
    <w:p>
      <w:pPr>
        <w:pStyle w:val="FBFL3"/>
        <w:rPr>
          <w:szCs w:val="22"/>
          <w:lang w:val="fr-FR"/>
        </w:rPr>
      </w:pPr>
      <w:r>
        <w:rPr>
          <w:szCs w:val="22"/>
          <w:lang w:val="fr-FR"/>
        </w:rPr>
        <w:t xml:space="preserve">Les Sections 1.5 (a) et (b) de la </w:t>
      </w:r>
      <w:r>
        <w:rPr>
          <w:i/>
          <w:szCs w:val="22"/>
          <w:lang w:val="fr-FR"/>
        </w:rPr>
        <w:t>2006 Definitions Benchmarks Annex</w:t>
      </w:r>
      <w:r>
        <w:rPr>
          <w:szCs w:val="22"/>
          <w:lang w:val="fr-FR"/>
        </w:rPr>
        <w:t xml:space="preserve"> sont supprimées et remplacées par les termes suivants :</w:t>
      </w:r>
    </w:p>
    <w:p>
      <w:pPr>
        <w:pStyle w:val="FBFL4"/>
        <w:numPr>
          <w:ilvl w:val="0"/>
          <w:numId w:val="0"/>
        </w:numPr>
        <w:ind w:left="1843"/>
        <w:rPr>
          <w:szCs w:val="22"/>
          <w:lang w:val="fr-FR"/>
        </w:rPr>
      </w:pPr>
      <w:r>
        <w:rPr>
          <w:szCs w:val="22"/>
          <w:lang w:val="fr-FR"/>
        </w:rPr>
        <w:t xml:space="preserve">"les stipulations de l'article 7.2.2.1 (si la Convention prend la forme d'une convention-cadre FBF 2013 ou d'une convention-cadre FBF 2007) ou 7.2.2 (si Convention prend la forme d'une convention-cadre FBF 2001 ou d'une convention-cadre AFB 1995) de la Convention sont applicables et, à cet effet (i) un cas d'illégalité au sens de l'article 7.2.1.1 est réputé être intervenu et (ii) le délai pour trouver une solution mutuellement satisfaisante rendant licites les Transactions affectées est réputé expiré sans qu'aucune solution mutuellement acceptable n'ait pu être trouvée." </w:t>
      </w:r>
    </w:p>
    <w:p>
      <w:pPr>
        <w:pStyle w:val="FBFL3"/>
        <w:rPr>
          <w:szCs w:val="22"/>
          <w:lang w:val="fr-FR"/>
        </w:rPr>
      </w:pPr>
      <w:r>
        <w:rPr>
          <w:szCs w:val="22"/>
          <w:lang w:val="fr-FR"/>
        </w:rPr>
        <w:t>Les références au "</w:t>
      </w:r>
      <w:r>
        <w:rPr>
          <w:i/>
          <w:szCs w:val="22"/>
          <w:lang w:val="fr-FR"/>
        </w:rPr>
        <w:t>Potential Event of Default</w:t>
      </w:r>
      <w:r>
        <w:rPr>
          <w:szCs w:val="22"/>
          <w:lang w:val="fr-FR"/>
        </w:rPr>
        <w:t xml:space="preserve">" à la Section 3.1(c) de la </w:t>
      </w:r>
      <w:r>
        <w:rPr>
          <w:i/>
          <w:szCs w:val="22"/>
          <w:lang w:val="fr-FR"/>
        </w:rPr>
        <w:t>2006 Definitions Benchmarks Annex</w:t>
      </w:r>
      <w:r>
        <w:rPr>
          <w:szCs w:val="22"/>
          <w:lang w:val="fr-FR"/>
        </w:rPr>
        <w:t xml:space="preserve"> sont supprimées. </w:t>
      </w:r>
    </w:p>
    <w:p>
      <w:pPr>
        <w:pStyle w:val="FBFL3"/>
        <w:rPr>
          <w:szCs w:val="22"/>
          <w:lang w:val="fr-FR"/>
        </w:rPr>
      </w:pPr>
      <w:r>
        <w:rPr>
          <w:szCs w:val="22"/>
          <w:lang w:val="fr-FR"/>
        </w:rPr>
        <w:t xml:space="preserve">Toute référence, dans la </w:t>
      </w:r>
      <w:r>
        <w:rPr>
          <w:i/>
          <w:szCs w:val="22"/>
          <w:lang w:val="fr-FR"/>
        </w:rPr>
        <w:t>2006 Definitions Benchmarks Annex,</w:t>
      </w:r>
      <w:r>
        <w:rPr>
          <w:szCs w:val="22"/>
          <w:lang w:val="fr-FR"/>
        </w:rPr>
        <w:t xml:space="preserve"> au Contrat-Cadre ISDA (</w:t>
      </w:r>
      <w:r>
        <w:rPr>
          <w:i/>
          <w:szCs w:val="22"/>
          <w:lang w:val="fr-FR"/>
        </w:rPr>
        <w:t>ISDA Master Agreement</w:t>
      </w:r>
      <w:r>
        <w:rPr>
          <w:szCs w:val="22"/>
          <w:lang w:val="fr-FR"/>
        </w:rPr>
        <w:t>) ou au Contrat-Cadre ISDA 2002 (</w:t>
      </w:r>
      <w:r>
        <w:rPr>
          <w:i/>
          <w:szCs w:val="22"/>
          <w:lang w:val="fr-FR"/>
        </w:rPr>
        <w:t>2002 ISDA Master Agreement</w:t>
      </w:r>
      <w:r>
        <w:rPr>
          <w:szCs w:val="22"/>
          <w:lang w:val="fr-FR"/>
        </w:rPr>
        <w:t>) est réputée faire référence à la Convention et toute référence aux termes ou stipulations du Contrat-Cadre ISDA ou du Contrat-Cadre ISDA 2002 est réputée faire référence aux termes ou stipulations équivalents de la Convention.</w:t>
      </w:r>
    </w:p>
    <w:p>
      <w:pPr>
        <w:pStyle w:val="FBFL2"/>
        <w:rPr>
          <w:b/>
          <w:bCs/>
          <w:szCs w:val="22"/>
        </w:rPr>
      </w:pPr>
      <w:r>
        <w:rPr>
          <w:b/>
          <w:bCs/>
          <w:szCs w:val="22"/>
        </w:rPr>
        <w:t>2002 Equity Definitions Benchmarks Annex</w:t>
      </w:r>
    </w:p>
    <w:p>
      <w:pPr>
        <w:pStyle w:val="FBFL3"/>
        <w:rPr>
          <w:szCs w:val="22"/>
          <w:lang w:val="fr-FR"/>
        </w:rPr>
      </w:pPr>
      <w:r>
        <w:rPr>
          <w:szCs w:val="22"/>
          <w:lang w:val="fr-FR"/>
        </w:rPr>
        <w:t xml:space="preserve">Toute référence dans la </w:t>
      </w:r>
      <w:r>
        <w:rPr>
          <w:i/>
          <w:szCs w:val="22"/>
          <w:lang w:val="fr-FR"/>
        </w:rPr>
        <w:t>2002 Equity Definitions Benchmarks Annex</w:t>
      </w:r>
      <w:r>
        <w:rPr>
          <w:szCs w:val="22"/>
          <w:lang w:val="fr-FR"/>
        </w:rPr>
        <w:t xml:space="preserve"> aux </w:t>
      </w:r>
      <w:r>
        <w:rPr>
          <w:i/>
          <w:szCs w:val="22"/>
          <w:lang w:val="fr-FR"/>
        </w:rPr>
        <w:t>2002 Equity Definitions</w:t>
      </w:r>
      <w:r>
        <w:rPr>
          <w:szCs w:val="22"/>
          <w:lang w:val="fr-FR"/>
        </w:rPr>
        <w:t xml:space="preserve"> est réputée être une référence aux </w:t>
      </w:r>
      <w:r>
        <w:rPr>
          <w:i/>
          <w:szCs w:val="22"/>
          <w:lang w:val="fr-FR"/>
        </w:rPr>
        <w:t xml:space="preserve">2002 Equity Definitions </w:t>
      </w:r>
      <w:r>
        <w:rPr>
          <w:szCs w:val="22"/>
          <w:lang w:val="fr-FR"/>
        </w:rPr>
        <w:t>telles que modifiées et complétées par les Parties, le cas échéant.</w:t>
      </w:r>
    </w:p>
    <w:p>
      <w:pPr>
        <w:pStyle w:val="FBFL3"/>
        <w:rPr>
          <w:szCs w:val="22"/>
          <w:lang w:val="fr-FR"/>
        </w:rPr>
      </w:pPr>
      <w:r>
        <w:rPr>
          <w:szCs w:val="22"/>
          <w:lang w:val="fr-FR"/>
        </w:rPr>
        <w:t xml:space="preserve">Nonobstant toute stipulation contraire de la </w:t>
      </w:r>
      <w:r>
        <w:rPr>
          <w:i/>
          <w:szCs w:val="22"/>
          <w:lang w:val="fr-FR"/>
        </w:rPr>
        <w:t>2002 Equity Definitions Benchmarks Annex</w:t>
      </w:r>
      <w:r>
        <w:rPr>
          <w:szCs w:val="22"/>
          <w:lang w:val="fr-FR"/>
        </w:rPr>
        <w:t xml:space="preserve">, les termes et expressions suivants, mentionnés dans la </w:t>
      </w:r>
      <w:r>
        <w:rPr>
          <w:i/>
          <w:szCs w:val="22"/>
          <w:lang w:val="fr-FR"/>
        </w:rPr>
        <w:t>2002 Equity Definitions Benchmarks Annex</w:t>
      </w:r>
      <w:r>
        <w:rPr>
          <w:szCs w:val="22"/>
          <w:lang w:val="fr-FR"/>
        </w:rPr>
        <w:t>, ont la signification suivante :</w:t>
      </w:r>
    </w:p>
    <w:p>
      <w:pPr>
        <w:pStyle w:val="FBFL4"/>
        <w:tabs>
          <w:tab w:val="clear" w:pos="1984"/>
          <w:tab w:val="num" w:pos="2694"/>
        </w:tabs>
        <w:ind w:left="2268" w:hanging="425"/>
        <w:rPr>
          <w:szCs w:val="22"/>
          <w:lang w:val="fr-FR"/>
        </w:rPr>
      </w:pPr>
      <w:r>
        <w:rPr>
          <w:szCs w:val="22"/>
          <w:lang w:val="fr-FR"/>
        </w:rPr>
        <w:t>"</w:t>
      </w:r>
      <w:r>
        <w:rPr>
          <w:b/>
          <w:szCs w:val="22"/>
          <w:lang w:val="fr-FR"/>
        </w:rPr>
        <w:t>Local Business Day</w:t>
      </w:r>
      <w:r>
        <w:rPr>
          <w:szCs w:val="22"/>
          <w:lang w:val="fr-FR"/>
        </w:rPr>
        <w:t>" désigne un "Jour Ouvré" au sens de la Convention ; et</w:t>
      </w:r>
    </w:p>
    <w:p>
      <w:pPr>
        <w:pStyle w:val="FBFL4"/>
        <w:tabs>
          <w:tab w:val="clear" w:pos="1984"/>
          <w:tab w:val="num" w:pos="2694"/>
        </w:tabs>
        <w:ind w:left="2268" w:hanging="425"/>
        <w:rPr>
          <w:szCs w:val="22"/>
          <w:lang w:val="fr-FR"/>
        </w:rPr>
      </w:pPr>
      <w:r>
        <w:rPr>
          <w:szCs w:val="22"/>
          <w:lang w:val="fr-FR"/>
        </w:rPr>
        <w:t>"</w:t>
      </w:r>
      <w:r>
        <w:rPr>
          <w:b/>
          <w:szCs w:val="22"/>
          <w:lang w:val="fr-FR"/>
        </w:rPr>
        <w:t>party(ies)</w:t>
      </w:r>
      <w:r>
        <w:rPr>
          <w:szCs w:val="22"/>
          <w:lang w:val="fr-FR"/>
        </w:rPr>
        <w:t>" désigne la (les) "Partie(s)" au sens de la Convention.</w:t>
      </w:r>
    </w:p>
    <w:p>
      <w:pPr>
        <w:pStyle w:val="FBFL3"/>
        <w:rPr>
          <w:szCs w:val="22"/>
          <w:lang w:val="fr-FR"/>
        </w:rPr>
      </w:pPr>
      <w:r>
        <w:rPr>
          <w:szCs w:val="22"/>
          <w:lang w:val="fr-FR"/>
        </w:rPr>
        <w:t xml:space="preserve">Toute référence, dans la </w:t>
      </w:r>
      <w:r>
        <w:rPr>
          <w:i/>
          <w:szCs w:val="22"/>
          <w:lang w:val="fr-FR"/>
        </w:rPr>
        <w:t>2002 Equity Definitions Benchmarks Annex,</w:t>
      </w:r>
      <w:r>
        <w:rPr>
          <w:szCs w:val="22"/>
          <w:lang w:val="fr-FR"/>
        </w:rPr>
        <w:t xml:space="preserve"> au Contrat-Cadre ISDA (</w:t>
      </w:r>
      <w:r>
        <w:rPr>
          <w:i/>
          <w:szCs w:val="22"/>
          <w:lang w:val="fr-FR"/>
        </w:rPr>
        <w:t>ISDA Master Agreement</w:t>
      </w:r>
      <w:r>
        <w:rPr>
          <w:szCs w:val="22"/>
          <w:lang w:val="fr-FR"/>
        </w:rPr>
        <w:t>) ou au Contrat-Cadre ISDA 2002 (</w:t>
      </w:r>
      <w:r>
        <w:rPr>
          <w:i/>
          <w:szCs w:val="22"/>
          <w:lang w:val="fr-FR"/>
        </w:rPr>
        <w:t>2002 ISDA Master Agreement</w:t>
      </w:r>
      <w:r>
        <w:rPr>
          <w:szCs w:val="22"/>
          <w:lang w:val="fr-FR"/>
        </w:rPr>
        <w:t>) est réputée faire référence à la Convention et toute référence aux termes ou stipulations du Contrat-Cadre ISDA ou du Contrat-Cadre ISDA 2002 est réputée faire référence aux termes ou stipulations équivalents de la Convention.</w:t>
      </w:r>
    </w:p>
    <w:p>
      <w:pPr>
        <w:pStyle w:val="FBFL2"/>
        <w:rPr>
          <w:b/>
          <w:bCs/>
          <w:szCs w:val="22"/>
        </w:rPr>
      </w:pPr>
      <w:r>
        <w:rPr>
          <w:b/>
          <w:bCs/>
          <w:szCs w:val="22"/>
        </w:rPr>
        <w:t xml:space="preserve">1998 FX Definitions Benchmarks Annex </w:t>
      </w:r>
    </w:p>
    <w:p>
      <w:pPr>
        <w:pStyle w:val="FBFL3"/>
        <w:rPr>
          <w:szCs w:val="22"/>
          <w:lang w:val="fr-FR"/>
        </w:rPr>
      </w:pPr>
      <w:r>
        <w:rPr>
          <w:szCs w:val="22"/>
          <w:lang w:val="fr-FR"/>
        </w:rPr>
        <w:t xml:space="preserve">Toute référence dans la </w:t>
      </w:r>
      <w:r>
        <w:rPr>
          <w:i/>
          <w:szCs w:val="22"/>
          <w:lang w:val="fr-FR"/>
        </w:rPr>
        <w:t xml:space="preserve">1998 FX Definitions Benchmarks Annex </w:t>
      </w:r>
      <w:r>
        <w:rPr>
          <w:szCs w:val="22"/>
          <w:lang w:val="fr-FR"/>
        </w:rPr>
        <w:t xml:space="preserve">aux </w:t>
      </w:r>
      <w:r>
        <w:rPr>
          <w:i/>
          <w:szCs w:val="22"/>
          <w:lang w:val="fr-FR"/>
        </w:rPr>
        <w:t>1998 FX Definitions</w:t>
      </w:r>
      <w:r>
        <w:rPr>
          <w:szCs w:val="22"/>
          <w:lang w:val="fr-FR"/>
        </w:rPr>
        <w:t xml:space="preserve"> est réputée être une référence aux </w:t>
      </w:r>
      <w:r>
        <w:rPr>
          <w:i/>
          <w:szCs w:val="22"/>
          <w:lang w:val="fr-FR"/>
        </w:rPr>
        <w:t xml:space="preserve">1998 FX Definitions </w:t>
      </w:r>
      <w:r>
        <w:rPr>
          <w:szCs w:val="22"/>
          <w:lang w:val="fr-FR"/>
        </w:rPr>
        <w:t>telles que modifiées et complétées par les Parties, le cas échéant.</w:t>
      </w:r>
    </w:p>
    <w:p>
      <w:pPr>
        <w:pStyle w:val="FBFL3"/>
        <w:rPr>
          <w:szCs w:val="22"/>
          <w:lang w:val="fr-FR"/>
        </w:rPr>
      </w:pPr>
      <w:r>
        <w:rPr>
          <w:szCs w:val="22"/>
          <w:lang w:val="fr-FR"/>
        </w:rPr>
        <w:t xml:space="preserve">Nonobstant toute stipulation contraire de la </w:t>
      </w:r>
      <w:r>
        <w:rPr>
          <w:i/>
          <w:szCs w:val="22"/>
          <w:lang w:val="fr-FR"/>
        </w:rPr>
        <w:t>1998 FX Definitions Benchmarks Annex</w:t>
      </w:r>
      <w:r>
        <w:rPr>
          <w:szCs w:val="22"/>
          <w:lang w:val="fr-FR"/>
        </w:rPr>
        <w:t xml:space="preserve">, les termes et expressions suivants, mentionnés dans la </w:t>
      </w:r>
      <w:r>
        <w:rPr>
          <w:i/>
          <w:szCs w:val="22"/>
          <w:lang w:val="fr-FR"/>
        </w:rPr>
        <w:t>1998 FX Definitions Benchmarks Annex</w:t>
      </w:r>
      <w:r>
        <w:rPr>
          <w:szCs w:val="22"/>
          <w:lang w:val="fr-FR"/>
        </w:rPr>
        <w:t>, ont la signification suivante :</w:t>
      </w:r>
    </w:p>
    <w:p>
      <w:pPr>
        <w:pStyle w:val="FBFL4"/>
        <w:tabs>
          <w:tab w:val="clear" w:pos="1984"/>
          <w:tab w:val="num" w:pos="2694"/>
        </w:tabs>
        <w:ind w:left="2268" w:hanging="425"/>
        <w:rPr>
          <w:szCs w:val="22"/>
          <w:lang w:val="fr-FR"/>
        </w:rPr>
      </w:pPr>
      <w:r>
        <w:rPr>
          <w:szCs w:val="22"/>
          <w:lang w:val="fr-FR"/>
        </w:rPr>
        <w:t>"</w:t>
      </w:r>
      <w:r>
        <w:rPr>
          <w:b/>
          <w:szCs w:val="22"/>
          <w:lang w:val="fr-FR"/>
        </w:rPr>
        <w:t>Local Business Day</w:t>
      </w:r>
      <w:r>
        <w:rPr>
          <w:szCs w:val="22"/>
          <w:lang w:val="fr-FR"/>
        </w:rPr>
        <w:t>" désigne un "Jour Ouvré" au sens de la Convention ; et</w:t>
      </w:r>
    </w:p>
    <w:p>
      <w:pPr>
        <w:pStyle w:val="FBFL4"/>
        <w:tabs>
          <w:tab w:val="clear" w:pos="1984"/>
          <w:tab w:val="num" w:pos="2694"/>
        </w:tabs>
        <w:ind w:left="2268" w:hanging="425"/>
        <w:rPr>
          <w:szCs w:val="22"/>
          <w:lang w:val="fr-FR"/>
        </w:rPr>
      </w:pPr>
      <w:r>
        <w:rPr>
          <w:szCs w:val="22"/>
          <w:lang w:val="fr-FR"/>
        </w:rPr>
        <w:t>"</w:t>
      </w:r>
      <w:r>
        <w:rPr>
          <w:b/>
          <w:szCs w:val="22"/>
          <w:lang w:val="fr-FR"/>
        </w:rPr>
        <w:t>party(ies)</w:t>
      </w:r>
      <w:r>
        <w:rPr>
          <w:szCs w:val="22"/>
          <w:lang w:val="fr-FR"/>
        </w:rPr>
        <w:t>" désigne la (les) "Partie(s)" au sens de la Convention.</w:t>
      </w:r>
    </w:p>
    <w:p>
      <w:pPr>
        <w:pStyle w:val="FBFL3"/>
        <w:rPr>
          <w:szCs w:val="22"/>
          <w:lang w:val="fr-FR"/>
        </w:rPr>
      </w:pPr>
      <w:r>
        <w:rPr>
          <w:szCs w:val="22"/>
          <w:lang w:val="fr-FR"/>
        </w:rPr>
        <w:t xml:space="preserve">Toute référence, dans la </w:t>
      </w:r>
      <w:r>
        <w:rPr>
          <w:i/>
          <w:szCs w:val="22"/>
          <w:lang w:val="fr-FR"/>
        </w:rPr>
        <w:t>1998 FX Definitions Benchmarks Annex,</w:t>
      </w:r>
      <w:r>
        <w:rPr>
          <w:szCs w:val="22"/>
          <w:lang w:val="fr-FR"/>
        </w:rPr>
        <w:t xml:space="preserve"> au Contrat-Cadre ISDA (</w:t>
      </w:r>
      <w:r>
        <w:rPr>
          <w:i/>
          <w:szCs w:val="22"/>
          <w:lang w:val="fr-FR"/>
        </w:rPr>
        <w:t>ISDA Master Agreement</w:t>
      </w:r>
      <w:r>
        <w:rPr>
          <w:szCs w:val="22"/>
          <w:lang w:val="fr-FR"/>
        </w:rPr>
        <w:t>) ou au Contrat-Cadre ISDA 2002 (</w:t>
      </w:r>
      <w:r>
        <w:rPr>
          <w:i/>
          <w:szCs w:val="22"/>
          <w:lang w:val="fr-FR"/>
        </w:rPr>
        <w:t>2002 ISDA Master Agreement</w:t>
      </w:r>
      <w:r>
        <w:rPr>
          <w:szCs w:val="22"/>
          <w:lang w:val="fr-FR"/>
        </w:rPr>
        <w:t>) est réputée faire référence à la Convention et toute référence aux termes ou stipulations du Contrat-Cadre ISDA ou du Contrat-Cadre ISDA 2002 est réputée faire référence aux termes ou stipulations équivalents de la Convention.</w:t>
      </w:r>
    </w:p>
    <w:p>
      <w:pPr>
        <w:pStyle w:val="FBFL2"/>
        <w:rPr>
          <w:b/>
          <w:bCs/>
          <w:szCs w:val="22"/>
        </w:rPr>
      </w:pPr>
      <w:r>
        <w:rPr>
          <w:b/>
          <w:bCs/>
          <w:szCs w:val="22"/>
        </w:rPr>
        <w:t>2005 Commodity Definitions Benchmarks Annex</w:t>
      </w:r>
    </w:p>
    <w:p>
      <w:pPr>
        <w:pStyle w:val="FBFL3"/>
        <w:rPr>
          <w:szCs w:val="22"/>
          <w:lang w:val="fr-FR"/>
        </w:rPr>
      </w:pPr>
      <w:r>
        <w:rPr>
          <w:szCs w:val="22"/>
          <w:lang w:val="fr-FR"/>
        </w:rPr>
        <w:t xml:space="preserve">Toute référence dans la </w:t>
      </w:r>
      <w:r>
        <w:rPr>
          <w:i/>
          <w:szCs w:val="22"/>
          <w:lang w:val="fr-FR"/>
        </w:rPr>
        <w:t xml:space="preserve">2005 Commodity Definitions Benchmarks Annex </w:t>
      </w:r>
      <w:r>
        <w:rPr>
          <w:szCs w:val="22"/>
          <w:lang w:val="fr-FR"/>
        </w:rPr>
        <w:t xml:space="preserve">aux </w:t>
      </w:r>
      <w:r>
        <w:rPr>
          <w:i/>
          <w:szCs w:val="22"/>
          <w:lang w:val="fr-FR"/>
        </w:rPr>
        <w:t>2005 ISDA Commodity Definitions</w:t>
      </w:r>
      <w:r>
        <w:rPr>
          <w:szCs w:val="22"/>
          <w:lang w:val="fr-FR"/>
        </w:rPr>
        <w:t xml:space="preserve"> est réputée être une référence aux </w:t>
      </w:r>
      <w:r>
        <w:rPr>
          <w:i/>
          <w:szCs w:val="22"/>
          <w:lang w:val="fr-FR"/>
        </w:rPr>
        <w:t xml:space="preserve">2005 ISDA Commodity Definitions </w:t>
      </w:r>
      <w:r>
        <w:rPr>
          <w:szCs w:val="22"/>
          <w:lang w:val="fr-FR"/>
        </w:rPr>
        <w:t>telles que modifiées et complétées par les Parties, le cas échéant.</w:t>
      </w:r>
    </w:p>
    <w:p>
      <w:pPr>
        <w:pStyle w:val="FBFL3"/>
        <w:rPr>
          <w:szCs w:val="22"/>
          <w:lang w:val="fr-FR"/>
        </w:rPr>
      </w:pPr>
      <w:r>
        <w:rPr>
          <w:szCs w:val="22"/>
          <w:lang w:val="fr-FR"/>
        </w:rPr>
        <w:t xml:space="preserve">Nonobstant toute stipulation contraire de la </w:t>
      </w:r>
      <w:r>
        <w:rPr>
          <w:i/>
          <w:szCs w:val="22"/>
          <w:lang w:val="fr-FR"/>
        </w:rPr>
        <w:t>2005 Commodity Definitions Benchmarks Annex</w:t>
      </w:r>
      <w:r>
        <w:rPr>
          <w:szCs w:val="22"/>
          <w:lang w:val="fr-FR"/>
        </w:rPr>
        <w:t xml:space="preserve">, les termes et expressions suivants, mentionnés dans la </w:t>
      </w:r>
      <w:r>
        <w:rPr>
          <w:i/>
          <w:szCs w:val="22"/>
          <w:lang w:val="fr-FR"/>
        </w:rPr>
        <w:t>2005 Commodity Definitions Benchmarks Annex</w:t>
      </w:r>
      <w:r>
        <w:rPr>
          <w:szCs w:val="22"/>
          <w:lang w:val="fr-FR"/>
        </w:rPr>
        <w:t>, ont la signification suivante :</w:t>
      </w:r>
    </w:p>
    <w:p>
      <w:pPr>
        <w:pStyle w:val="FBFL4"/>
        <w:tabs>
          <w:tab w:val="clear" w:pos="1984"/>
          <w:tab w:val="left" w:pos="2268"/>
          <w:tab w:val="num" w:pos="2694"/>
        </w:tabs>
        <w:ind w:left="2268" w:hanging="425"/>
        <w:rPr>
          <w:szCs w:val="22"/>
          <w:lang w:val="fr-FR"/>
        </w:rPr>
      </w:pPr>
      <w:r>
        <w:rPr>
          <w:szCs w:val="22"/>
          <w:lang w:val="fr-FR"/>
        </w:rPr>
        <w:t>"</w:t>
      </w:r>
      <w:r>
        <w:rPr>
          <w:b/>
          <w:szCs w:val="22"/>
          <w:lang w:val="fr-FR"/>
        </w:rPr>
        <w:t>Local Business Day</w:t>
      </w:r>
      <w:r>
        <w:rPr>
          <w:szCs w:val="22"/>
          <w:lang w:val="fr-FR"/>
        </w:rPr>
        <w:t>" désigne un "Jour Ouvré" au sens de la Convention ; et</w:t>
      </w:r>
    </w:p>
    <w:p>
      <w:pPr>
        <w:pStyle w:val="FBFL4"/>
        <w:tabs>
          <w:tab w:val="clear" w:pos="1984"/>
          <w:tab w:val="left" w:pos="2268"/>
          <w:tab w:val="num" w:pos="2694"/>
        </w:tabs>
        <w:ind w:left="2268" w:hanging="425"/>
        <w:rPr>
          <w:szCs w:val="22"/>
          <w:lang w:val="fr-FR"/>
        </w:rPr>
      </w:pPr>
      <w:r>
        <w:rPr>
          <w:szCs w:val="22"/>
          <w:lang w:val="fr-FR"/>
        </w:rPr>
        <w:t>"</w:t>
      </w:r>
      <w:r>
        <w:rPr>
          <w:b/>
          <w:szCs w:val="22"/>
          <w:lang w:val="fr-FR"/>
        </w:rPr>
        <w:t>party(ies)</w:t>
      </w:r>
      <w:r>
        <w:rPr>
          <w:szCs w:val="22"/>
          <w:lang w:val="fr-FR"/>
        </w:rPr>
        <w:t>" désigne la (les) "Partie(s)" au sens de la Convention.</w:t>
      </w:r>
    </w:p>
    <w:p>
      <w:pPr>
        <w:pStyle w:val="FBFL3"/>
        <w:rPr>
          <w:szCs w:val="22"/>
          <w:lang w:val="fr-FR"/>
        </w:rPr>
      </w:pPr>
      <w:r>
        <w:rPr>
          <w:szCs w:val="22"/>
          <w:lang w:val="fr-FR"/>
        </w:rPr>
        <w:t xml:space="preserve">Toute référence, dans la </w:t>
      </w:r>
      <w:r>
        <w:rPr>
          <w:i/>
          <w:szCs w:val="22"/>
          <w:lang w:val="fr-FR"/>
        </w:rPr>
        <w:t xml:space="preserve">2005 Commodity Definitions Benchmarks Annex, </w:t>
      </w:r>
      <w:r>
        <w:rPr>
          <w:szCs w:val="22"/>
          <w:lang w:val="fr-FR"/>
        </w:rPr>
        <w:t>au Contrat-Cadre ISDA (</w:t>
      </w:r>
      <w:r>
        <w:rPr>
          <w:i/>
          <w:szCs w:val="22"/>
          <w:lang w:val="fr-FR"/>
        </w:rPr>
        <w:t>ISDA Master Agreement</w:t>
      </w:r>
      <w:r>
        <w:rPr>
          <w:szCs w:val="22"/>
          <w:lang w:val="fr-FR"/>
        </w:rPr>
        <w:t>) ou au Contrat-Cadre ISDA 2002 (</w:t>
      </w:r>
      <w:r>
        <w:rPr>
          <w:i/>
          <w:szCs w:val="22"/>
          <w:lang w:val="fr-FR"/>
        </w:rPr>
        <w:t>2002 ISDA Master Agreement</w:t>
      </w:r>
      <w:r>
        <w:rPr>
          <w:szCs w:val="22"/>
          <w:lang w:val="fr-FR"/>
        </w:rPr>
        <w:t>) est réputée faire référence à la Convention et toute référence aux termes ou stipulations du Contrat-Cadre ISDA ou du Contrat-Cadre ISDA 2002 est réputée faire référence aux termes ou stipulations équivalents de la Convention."</w:t>
      </w:r>
    </w:p>
    <w:p>
      <w:pPr>
        <w:keepNext/>
        <w:jc w:val="both"/>
        <w:rPr>
          <w:rFonts w:cs="Times New Roman"/>
          <w:b/>
          <w:bCs/>
          <w:caps/>
        </w:rPr>
      </w:pPr>
      <w:r>
        <w:rPr>
          <w:rFonts w:cs="Times New Roman"/>
          <w:b/>
          <w:bCs/>
          <w:caps/>
        </w:rPr>
        <w:t>2.</w:t>
      </w:r>
      <w:r>
        <w:rPr>
          <w:rFonts w:cs="Times New Roman"/>
          <w:b/>
          <w:bCs/>
          <w:caps/>
        </w:rPr>
        <w:tab/>
        <w:t>Maintien des obligations</w:t>
      </w:r>
    </w:p>
    <w:p>
      <w:pPr>
        <w:ind w:left="720"/>
        <w:jc w:val="both"/>
        <w:rPr>
          <w:rFonts w:cs="Times New Roman"/>
        </w:rPr>
      </w:pPr>
      <w:r>
        <w:rPr>
          <w:rFonts w:cs="Times New Roman"/>
        </w:rPr>
        <w:t>Par souci de clarté, les Parties conviennent qu'aucune autre stipulation de la Convention, ni aucun droit ni obligation des Parties au titre de la Convention ou de toute Transaction autre que ceux expressément visés par le présent Avenant, n'est modifié, altéré ou diminué, de quelque manière que ce soit, par les termes des présentes.</w:t>
      </w:r>
    </w:p>
    <w:p>
      <w:pPr>
        <w:keepNext/>
        <w:keepLines/>
        <w:jc w:val="both"/>
        <w:rPr>
          <w:rFonts w:cs="Times New Roman"/>
          <w:b/>
          <w:bCs/>
          <w:caps/>
        </w:rPr>
      </w:pPr>
      <w:r>
        <w:rPr>
          <w:rFonts w:cs="Times New Roman"/>
          <w:b/>
          <w:bCs/>
          <w:caps/>
        </w:rPr>
        <w:t>3.</w:t>
      </w:r>
      <w:r>
        <w:rPr>
          <w:rFonts w:cs="Times New Roman"/>
          <w:b/>
          <w:bCs/>
          <w:caps/>
        </w:rPr>
        <w:tab/>
        <w:t>Declarations et Engagements</w:t>
      </w:r>
    </w:p>
    <w:p>
      <w:pPr>
        <w:keepNext/>
        <w:keepLines/>
        <w:ind w:left="720"/>
        <w:jc w:val="both"/>
        <w:rPr>
          <w:rFonts w:cs="Times New Roman"/>
        </w:rPr>
      </w:pPr>
      <w:r>
        <w:rPr>
          <w:rFonts w:cs="Times New Roman"/>
        </w:rPr>
        <w:t>Les Parties réitèrent et confirment à la date des présentes l'ensemble des déclarations et engagements respectivement faites et pris au titre de l'article [6]/[6.1]</w:t>
      </w:r>
      <w:r>
        <w:rPr>
          <w:rStyle w:val="FootnoteReference"/>
          <w:rFonts w:cs="Times New Roman"/>
        </w:rPr>
        <w:footnoteReference w:id="3"/>
      </w:r>
      <w:r>
        <w:rPr>
          <w:rFonts w:cs="Times New Roman"/>
        </w:rPr>
        <w:t xml:space="preserve"> de la Convention. A ce titre, toute référence à "la Convention" sera lue comme une référence à "l'Avenant" pour les besoins du présent Article 3.</w:t>
      </w:r>
    </w:p>
    <w:p>
      <w:pPr>
        <w:jc w:val="both"/>
        <w:rPr>
          <w:rFonts w:cs="Times New Roman"/>
          <w:b/>
          <w:bCs/>
          <w:caps/>
        </w:rPr>
      </w:pPr>
      <w:r>
        <w:rPr>
          <w:rFonts w:cs="Times New Roman"/>
          <w:b/>
          <w:bCs/>
          <w:caps/>
        </w:rPr>
        <w:t>4.</w:t>
      </w:r>
      <w:r>
        <w:rPr>
          <w:rFonts w:cs="Times New Roman"/>
          <w:b/>
          <w:bCs/>
          <w:caps/>
        </w:rPr>
        <w:tab/>
        <w:t>Divers</w:t>
      </w:r>
    </w:p>
    <w:p>
      <w:pPr>
        <w:ind w:left="709" w:hanging="709"/>
        <w:jc w:val="both"/>
        <w:rPr>
          <w:rFonts w:cs="Times New Roman"/>
        </w:rPr>
      </w:pPr>
      <w:r>
        <w:rPr>
          <w:rFonts w:cs="Times New Roman"/>
          <w:b/>
          <w:bCs/>
        </w:rPr>
        <w:t>4.1</w:t>
      </w:r>
      <w:r>
        <w:rPr>
          <w:rFonts w:cs="Times New Roman"/>
          <w:b/>
          <w:bCs/>
        </w:rPr>
        <w:tab/>
        <w:t>Définitions</w:t>
      </w:r>
      <w:r>
        <w:rPr>
          <w:rFonts w:cs="Times New Roman"/>
        </w:rPr>
        <w:t>. Toute référence à la Convention sera lue comme référence à cette même convention telle que modifiée par le présent Avenant, à compter de l'entrée en vigueur du présent Avenant.</w:t>
      </w:r>
    </w:p>
    <w:p>
      <w:pPr>
        <w:ind w:left="709" w:hanging="709"/>
        <w:jc w:val="both"/>
        <w:rPr>
          <w:rFonts w:cs="Times New Roman"/>
        </w:rPr>
      </w:pPr>
      <w:r>
        <w:rPr>
          <w:rFonts w:cs="Times New Roman"/>
          <w:b/>
          <w:bCs/>
        </w:rPr>
        <w:t>4.2</w:t>
      </w:r>
      <w:r>
        <w:rPr>
          <w:rFonts w:cs="Times New Roman"/>
          <w:b/>
          <w:bCs/>
        </w:rPr>
        <w:tab/>
        <w:t>Interprétation</w:t>
      </w:r>
      <w:r>
        <w:rPr>
          <w:rFonts w:cs="Times New Roman"/>
        </w:rPr>
        <w:t>. Le présent Avenant complète, fait partie intégrante et est soumis aux stipulations de la Convention. En cas de contradiction entre les présentes stipulations et celles de la Convention, les stipulations du présent Avenant prévaudront pour les seules questions dont il dispose.</w:t>
      </w:r>
    </w:p>
    <w:p>
      <w:pPr>
        <w:ind w:left="709" w:hanging="709"/>
        <w:jc w:val="both"/>
        <w:rPr>
          <w:rFonts w:cs="Times New Roman"/>
        </w:rPr>
      </w:pPr>
      <w:r>
        <w:rPr>
          <w:rFonts w:cs="Times New Roman"/>
          <w:b/>
        </w:rPr>
        <w:t>4.3</w:t>
      </w:r>
      <w:r>
        <w:rPr>
          <w:rFonts w:cs="Times New Roman"/>
          <w:b/>
        </w:rPr>
        <w:tab/>
        <w:t>Absence de novation</w:t>
      </w:r>
      <w:r>
        <w:rPr>
          <w:rFonts w:cs="Times New Roman"/>
        </w:rPr>
        <w:t>.</w:t>
      </w:r>
      <w:r>
        <w:rPr>
          <w:rFonts w:cs="Times New Roman"/>
          <w:b/>
        </w:rPr>
        <w:t xml:space="preserve"> </w:t>
      </w:r>
      <w:r>
        <w:rPr>
          <w:rFonts w:cs="Times New Roman"/>
        </w:rPr>
        <w:t>II est précisé, en tant que de besoin, que le présent Avenant ne constitue en aucune manière une novation de la Convention ou des Transactions régies par la Convention.</w:t>
      </w:r>
    </w:p>
    <w:p>
      <w:pPr>
        <w:ind w:left="709" w:hanging="709"/>
        <w:jc w:val="both"/>
        <w:rPr>
          <w:rFonts w:cs="Times New Roman"/>
        </w:rPr>
      </w:pPr>
      <w:r>
        <w:rPr>
          <w:rFonts w:cs="Times New Roman"/>
          <w:b/>
          <w:bCs/>
        </w:rPr>
        <w:t>4.4</w:t>
      </w:r>
      <w:r>
        <w:rPr>
          <w:rFonts w:cs="Times New Roman"/>
          <w:b/>
          <w:bCs/>
        </w:rPr>
        <w:tab/>
        <w:t>Loi applicable</w:t>
      </w:r>
      <w:r>
        <w:rPr>
          <w:rFonts w:cs="Times New Roman"/>
          <w:bCs/>
        </w:rPr>
        <w:t>.</w:t>
      </w:r>
      <w:r>
        <w:rPr>
          <w:rFonts w:cs="Times New Roman"/>
          <w:b/>
          <w:bCs/>
        </w:rPr>
        <w:t xml:space="preserve"> </w:t>
      </w:r>
      <w:r>
        <w:rPr>
          <w:rFonts w:cs="Times New Roman"/>
        </w:rPr>
        <w:t>Le présent Avenant est soumis au droit français, étant entendu que les modifications apportées aux Définitions ISDA pertinentes sont régies et interprétées conformément à la loi applicable [aux Définitions ISDA]/[à la Transaction pertinente]</w:t>
      </w:r>
      <w:r>
        <w:rPr>
          <w:rStyle w:val="FootnoteReference"/>
          <w:rFonts w:cs="Times New Roman"/>
        </w:rPr>
        <w:footnoteReference w:id="4"/>
      </w:r>
      <w:r>
        <w:rPr>
          <w:rFonts w:cs="Times New Roman"/>
        </w:rPr>
        <w:t xml:space="preserve">. </w:t>
      </w:r>
    </w:p>
    <w:p>
      <w:pPr>
        <w:ind w:left="709" w:hanging="709"/>
        <w:jc w:val="both"/>
        <w:rPr>
          <w:rFonts w:cs="Times New Roman"/>
        </w:rPr>
      </w:pPr>
      <w:r>
        <w:rPr>
          <w:rFonts w:cs="Times New Roman"/>
          <w:b/>
        </w:rPr>
        <w:t>4.5</w:t>
      </w:r>
      <w:r>
        <w:rPr>
          <w:rFonts w:cs="Times New Roman"/>
          <w:b/>
        </w:rPr>
        <w:tab/>
      </w:r>
      <w:r>
        <w:rPr>
          <w:rFonts w:cs="Times New Roman"/>
          <w:b/>
          <w:bCs/>
        </w:rPr>
        <w:t>Attribution de compétence</w:t>
      </w:r>
      <w:r>
        <w:rPr>
          <w:rFonts w:cs="Times New Roman"/>
        </w:rPr>
        <w:t>. Tout litige, relatif notamment à la validité, l'interprétation ou l'exécution du présent Avenant, sera soumis à la compétence des juridictions désignées compétentes en application de l'article 14 de la Convention.</w:t>
      </w:r>
    </w:p>
    <w:p>
      <w:pPr>
        <w:jc w:val="both"/>
        <w:rPr>
          <w:rFonts w:cs="Times New Roman"/>
        </w:rPr>
      </w:pPr>
    </w:p>
    <w:p>
      <w:pPr>
        <w:keepNext/>
        <w:keepLines/>
        <w:spacing w:after="120"/>
        <w:jc w:val="both"/>
        <w:rPr>
          <w:rFonts w:cs="Times New Roman"/>
        </w:rPr>
      </w:pPr>
      <w:r>
        <w:rPr>
          <w:rFonts w:cs="Times New Roman"/>
        </w:rPr>
        <w:t xml:space="preserve">Fait à </w:t>
      </w:r>
      <w:r>
        <w:rPr>
          <w:rFonts w:cs="Times New Roman"/>
          <w:smallCaps/>
          <w:color w:val="000000"/>
        </w:rPr>
        <w:t>[</w:t>
      </w:r>
      <w:r>
        <w:rPr>
          <w:rFonts w:cs="Times New Roman"/>
          <w:smallCaps/>
          <w:color w:val="000000"/>
        </w:rPr>
        <w:sym w:font="Symbol" w:char="F0B7"/>
      </w:r>
      <w:r>
        <w:rPr>
          <w:rFonts w:cs="Times New Roman"/>
          <w:smallCaps/>
          <w:color w:val="000000"/>
        </w:rPr>
        <w:t>]</w:t>
      </w:r>
      <w:r>
        <w:rPr>
          <w:rFonts w:cs="Times New Roman"/>
        </w:rPr>
        <w:t xml:space="preserve">, le </w:t>
      </w:r>
      <w:r>
        <w:rPr>
          <w:rFonts w:cs="Times New Roman"/>
          <w:smallCaps/>
          <w:color w:val="000000"/>
        </w:rPr>
        <w:t>[</w:t>
      </w:r>
      <w:r>
        <w:rPr>
          <w:rFonts w:cs="Times New Roman"/>
          <w:smallCaps/>
          <w:color w:val="000000"/>
        </w:rPr>
        <w:sym w:font="Symbol" w:char="F0B7"/>
      </w:r>
      <w:r>
        <w:rPr>
          <w:rFonts w:cs="Times New Roman"/>
          <w:smallCaps/>
          <w:color w:val="000000"/>
        </w:rPr>
        <w:t>]</w:t>
      </w:r>
      <w:r>
        <w:rPr>
          <w:rFonts w:cs="Times New Roman"/>
        </w:rPr>
        <w:t>, en deux (2) exemplaires originaux.</w:t>
      </w:r>
    </w:p>
    <w:p>
      <w:pPr>
        <w:keepNext/>
        <w:keepLines/>
        <w:spacing w:after="120"/>
        <w:jc w:val="both"/>
        <w:rPr>
          <w:rFonts w:cs="Times New Roman"/>
        </w:rPr>
      </w:pPr>
    </w:p>
    <w:tbl>
      <w:tblPr>
        <w:tblW w:w="9076" w:type="dxa"/>
        <w:tblLayout w:type="fixed"/>
        <w:tblCellMar>
          <w:left w:w="70" w:type="dxa"/>
          <w:right w:w="70" w:type="dxa"/>
        </w:tblCellMar>
        <w:tblLook w:val="0000" w:firstRow="0" w:lastRow="0" w:firstColumn="0" w:lastColumn="0" w:noHBand="0" w:noVBand="0"/>
      </w:tblPr>
      <w:tblGrid>
        <w:gridCol w:w="9076"/>
      </w:tblGrid>
      <w:tr>
        <w:tc>
          <w:tcPr>
            <w:tcW w:w="9076" w:type="dxa"/>
          </w:tcPr>
          <w:p>
            <w:pPr>
              <w:pStyle w:val="Heading1"/>
              <w:spacing w:line="240" w:lineRule="auto"/>
              <w:rPr>
                <w:rFonts w:cs="Times New Roman"/>
                <w:smallCaps/>
                <w:color w:val="000000"/>
                <w:szCs w:val="22"/>
              </w:rPr>
            </w:pPr>
            <w:r>
              <w:rPr>
                <w:rFonts w:cs="Times New Roman"/>
                <w:smallCaps/>
                <w:color w:val="000000"/>
                <w:szCs w:val="22"/>
              </w:rPr>
              <w:t>[</w:t>
            </w:r>
            <w:r>
              <w:rPr>
                <w:rFonts w:cs="Times New Roman"/>
                <w:smallCaps/>
                <w:color w:val="000000"/>
                <w:szCs w:val="22"/>
              </w:rPr>
              <w:sym w:font="Symbol" w:char="F0B7"/>
            </w:r>
            <w:r>
              <w:rPr>
                <w:rFonts w:cs="Times New Roman"/>
                <w:smallCaps/>
                <w:color w:val="000000"/>
                <w:szCs w:val="22"/>
              </w:rPr>
              <w:t>]</w:t>
            </w:r>
          </w:p>
          <w:p>
            <w:pPr>
              <w:keepNext/>
              <w:keepLines/>
              <w:spacing w:after="0"/>
              <w:rPr>
                <w:rFonts w:cs="Times New Roman"/>
                <w:color w:val="000000"/>
              </w:rPr>
            </w:pPr>
          </w:p>
          <w:p>
            <w:pPr>
              <w:keepNext/>
              <w:keepLines/>
              <w:spacing w:after="0"/>
              <w:rPr>
                <w:rFonts w:cs="Times New Roman"/>
                <w:color w:val="000000"/>
              </w:rPr>
            </w:pPr>
          </w:p>
          <w:p>
            <w:pPr>
              <w:keepNext/>
              <w:keepLines/>
              <w:spacing w:after="0"/>
              <w:rPr>
                <w:rFonts w:cs="Times New Roman"/>
                <w:color w:val="000000"/>
              </w:rPr>
            </w:pPr>
          </w:p>
          <w:p>
            <w:pPr>
              <w:keepNext/>
              <w:keepLines/>
              <w:spacing w:after="0"/>
              <w:rPr>
                <w:rFonts w:cs="Times New Roman"/>
                <w:color w:val="000000"/>
              </w:rPr>
            </w:pPr>
          </w:p>
          <w:p>
            <w:pPr>
              <w:keepNext/>
              <w:keepLines/>
              <w:tabs>
                <w:tab w:val="left" w:pos="4033"/>
              </w:tabs>
              <w:spacing w:after="0"/>
              <w:ind w:left="639" w:hanging="639"/>
              <w:jc w:val="both"/>
              <w:rPr>
                <w:rFonts w:cs="Times New Roman"/>
                <w:b/>
              </w:rPr>
            </w:pPr>
            <w:r>
              <w:rPr>
                <w:rFonts w:cs="Times New Roman"/>
              </w:rPr>
              <w:t>Par:</w:t>
            </w:r>
            <w:r>
              <w:rPr>
                <w:rFonts w:cs="Times New Roman"/>
              </w:rPr>
              <w:tab/>
            </w:r>
          </w:p>
          <w:p>
            <w:pPr>
              <w:keepNext/>
              <w:keepLines/>
              <w:spacing w:after="0"/>
              <w:ind w:left="639" w:hanging="639"/>
              <w:jc w:val="both"/>
              <w:rPr>
                <w:rFonts w:cs="Times New Roman"/>
              </w:rPr>
            </w:pPr>
            <w:r>
              <w:rPr>
                <w:rFonts w:cs="Times New Roman"/>
              </w:rPr>
              <w:tab/>
              <w:t>________________________                   _________________________</w:t>
            </w:r>
          </w:p>
          <w:p>
            <w:pPr>
              <w:keepNext/>
              <w:keepLines/>
              <w:tabs>
                <w:tab w:val="left" w:pos="709"/>
                <w:tab w:val="left" w:pos="5245"/>
              </w:tabs>
              <w:spacing w:after="0"/>
              <w:ind w:left="639" w:hanging="639"/>
              <w:jc w:val="both"/>
              <w:rPr>
                <w:rFonts w:cs="Times New Roman"/>
              </w:rPr>
            </w:pPr>
            <w:r>
              <w:rPr>
                <w:rFonts w:cs="Times New Roman"/>
              </w:rPr>
              <w:tab/>
            </w:r>
          </w:p>
          <w:p>
            <w:pPr>
              <w:keepNext/>
              <w:keepLines/>
              <w:spacing w:after="0"/>
              <w:ind w:left="639" w:hanging="639"/>
              <w:jc w:val="both"/>
              <w:rPr>
                <w:rFonts w:cs="Times New Roman"/>
              </w:rPr>
            </w:pPr>
          </w:p>
          <w:p>
            <w:pPr>
              <w:keepNext/>
              <w:keepLines/>
              <w:tabs>
                <w:tab w:val="left" w:pos="634"/>
              </w:tabs>
              <w:spacing w:after="0"/>
              <w:rPr>
                <w:rFonts w:cs="Times New Roman"/>
              </w:rPr>
            </w:pPr>
            <w:r>
              <w:rPr>
                <w:rFonts w:cs="Times New Roman"/>
              </w:rPr>
              <w:tab/>
              <w:t xml:space="preserve">Nom : </w:t>
            </w:r>
            <w:r>
              <w:rPr>
                <w:rFonts w:cs="Times New Roman"/>
              </w:rPr>
              <w:tab/>
            </w:r>
            <w:r>
              <w:rPr>
                <w:rFonts w:cs="Times New Roman"/>
              </w:rPr>
              <w:tab/>
            </w:r>
            <w:r>
              <w:rPr>
                <w:rFonts w:cs="Times New Roman"/>
              </w:rPr>
              <w:tab/>
            </w:r>
            <w:r>
              <w:rPr>
                <w:rFonts w:cs="Times New Roman"/>
              </w:rPr>
              <w:tab/>
            </w:r>
            <w:r>
              <w:rPr>
                <w:rFonts w:cs="Times New Roman"/>
              </w:rPr>
              <w:tab/>
              <w:t>Nom :</w:t>
            </w:r>
          </w:p>
          <w:p>
            <w:pPr>
              <w:keepNext/>
              <w:keepLines/>
              <w:tabs>
                <w:tab w:val="left" w:pos="1490"/>
              </w:tabs>
              <w:spacing w:after="0"/>
              <w:ind w:left="640"/>
              <w:jc w:val="both"/>
              <w:rPr>
                <w:rFonts w:cs="Times New Roman"/>
                <w:color w:val="000000"/>
              </w:rPr>
            </w:pPr>
            <w:r>
              <w:rPr>
                <w:rFonts w:cs="Times New Roman"/>
                <w:color w:val="000000"/>
              </w:rPr>
              <w:t>Qualité :</w: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color w:val="000000"/>
              </w:rPr>
              <w:t>Qualité :</w:t>
            </w:r>
          </w:p>
          <w:p>
            <w:pPr>
              <w:keepNext/>
              <w:keepLines/>
              <w:tabs>
                <w:tab w:val="left" w:pos="634"/>
              </w:tabs>
              <w:spacing w:after="0"/>
              <w:rPr>
                <w:rFonts w:cs="Times New Roman"/>
                <w:color w:val="000000"/>
              </w:rPr>
            </w:pPr>
          </w:p>
        </w:tc>
      </w:tr>
      <w:tr>
        <w:tc>
          <w:tcPr>
            <w:tcW w:w="9076" w:type="dxa"/>
          </w:tcPr>
          <w:p>
            <w:pPr>
              <w:keepNext/>
              <w:spacing w:after="0"/>
              <w:ind w:left="-70"/>
              <w:jc w:val="both"/>
              <w:rPr>
                <w:rFonts w:cs="Times New Roman"/>
                <w:color w:val="000000"/>
              </w:rPr>
            </w:pPr>
          </w:p>
          <w:p>
            <w:pPr>
              <w:keepNext/>
              <w:spacing w:after="0"/>
              <w:ind w:left="-70"/>
              <w:jc w:val="both"/>
              <w:rPr>
                <w:rFonts w:cs="Times New Roman"/>
                <w:color w:val="000000"/>
              </w:rPr>
            </w:pPr>
          </w:p>
        </w:tc>
      </w:tr>
      <w:tr>
        <w:tc>
          <w:tcPr>
            <w:tcW w:w="9076" w:type="dxa"/>
          </w:tcPr>
          <w:p>
            <w:pPr>
              <w:keepNext/>
              <w:spacing w:after="0"/>
              <w:ind w:left="-70"/>
              <w:jc w:val="both"/>
              <w:rPr>
                <w:rFonts w:cs="Times New Roman"/>
                <w:b/>
                <w:color w:val="000000"/>
              </w:rPr>
            </w:pPr>
            <w:r>
              <w:rPr>
                <w:rFonts w:cs="Times New Roman"/>
                <w:b/>
                <w:smallCaps/>
                <w:color w:val="000000"/>
              </w:rPr>
              <w:t>[</w:t>
            </w:r>
            <w:r>
              <w:rPr>
                <w:rFonts w:cs="Times New Roman"/>
                <w:b/>
                <w:smallCaps/>
                <w:color w:val="000000"/>
              </w:rPr>
              <w:sym w:font="Symbol" w:char="F0B7"/>
            </w:r>
            <w:r>
              <w:rPr>
                <w:rFonts w:cs="Times New Roman"/>
                <w:b/>
                <w:smallCaps/>
                <w:color w:val="000000"/>
              </w:rPr>
              <w:t>]</w:t>
            </w:r>
          </w:p>
          <w:p>
            <w:pPr>
              <w:keepNext/>
              <w:spacing w:after="0"/>
              <w:ind w:left="-70"/>
              <w:jc w:val="both"/>
              <w:rPr>
                <w:rFonts w:cs="Times New Roman"/>
                <w:color w:val="000000"/>
              </w:rPr>
            </w:pPr>
          </w:p>
          <w:p>
            <w:pPr>
              <w:keepNext/>
              <w:spacing w:after="0"/>
              <w:ind w:left="-70"/>
              <w:jc w:val="both"/>
              <w:rPr>
                <w:rFonts w:cs="Times New Roman"/>
                <w:color w:val="000000"/>
              </w:rPr>
            </w:pPr>
          </w:p>
          <w:p>
            <w:pPr>
              <w:keepNext/>
              <w:spacing w:after="0"/>
              <w:ind w:left="-70"/>
              <w:jc w:val="both"/>
              <w:rPr>
                <w:rFonts w:cs="Times New Roman"/>
                <w:color w:val="000000"/>
              </w:rPr>
            </w:pPr>
          </w:p>
          <w:p>
            <w:pPr>
              <w:keepNext/>
              <w:keepLines/>
              <w:tabs>
                <w:tab w:val="left" w:pos="4033"/>
              </w:tabs>
              <w:spacing w:after="0"/>
              <w:ind w:left="639" w:hanging="639"/>
              <w:jc w:val="both"/>
              <w:rPr>
                <w:rFonts w:cs="Times New Roman"/>
                <w:b/>
              </w:rPr>
            </w:pPr>
            <w:r>
              <w:rPr>
                <w:rFonts w:cs="Times New Roman"/>
              </w:rPr>
              <w:t>Par:</w:t>
            </w:r>
            <w:r>
              <w:rPr>
                <w:rFonts w:cs="Times New Roman"/>
              </w:rPr>
              <w:tab/>
            </w:r>
          </w:p>
          <w:p>
            <w:pPr>
              <w:keepNext/>
              <w:keepLines/>
              <w:spacing w:after="0"/>
              <w:ind w:left="639" w:hanging="639"/>
              <w:jc w:val="both"/>
              <w:rPr>
                <w:rFonts w:cs="Times New Roman"/>
              </w:rPr>
            </w:pPr>
            <w:r>
              <w:rPr>
                <w:rFonts w:cs="Times New Roman"/>
              </w:rPr>
              <w:tab/>
              <w:t>________________________                   _________________________</w:t>
            </w:r>
          </w:p>
          <w:p>
            <w:pPr>
              <w:keepNext/>
              <w:keepLines/>
              <w:tabs>
                <w:tab w:val="left" w:pos="709"/>
                <w:tab w:val="left" w:pos="5245"/>
              </w:tabs>
              <w:spacing w:after="0"/>
              <w:ind w:left="639" w:hanging="639"/>
              <w:jc w:val="both"/>
              <w:rPr>
                <w:rFonts w:cs="Times New Roman"/>
              </w:rPr>
            </w:pPr>
            <w:r>
              <w:rPr>
                <w:rFonts w:cs="Times New Roman"/>
              </w:rPr>
              <w:tab/>
            </w:r>
          </w:p>
          <w:p>
            <w:pPr>
              <w:keepNext/>
              <w:keepLines/>
              <w:spacing w:after="0"/>
              <w:ind w:left="639" w:hanging="639"/>
              <w:jc w:val="both"/>
              <w:rPr>
                <w:rFonts w:cs="Times New Roman"/>
              </w:rPr>
            </w:pPr>
          </w:p>
          <w:p>
            <w:pPr>
              <w:keepNext/>
              <w:keepLines/>
              <w:tabs>
                <w:tab w:val="left" w:pos="634"/>
              </w:tabs>
              <w:spacing w:after="0"/>
              <w:rPr>
                <w:rFonts w:cs="Times New Roman"/>
              </w:rPr>
            </w:pPr>
            <w:r>
              <w:rPr>
                <w:rFonts w:cs="Times New Roman"/>
              </w:rPr>
              <w:tab/>
              <w:t xml:space="preserve">Nom : </w:t>
            </w:r>
            <w:r>
              <w:rPr>
                <w:rFonts w:cs="Times New Roman"/>
              </w:rPr>
              <w:tab/>
            </w:r>
            <w:r>
              <w:rPr>
                <w:rFonts w:cs="Times New Roman"/>
              </w:rPr>
              <w:tab/>
            </w:r>
            <w:r>
              <w:rPr>
                <w:rFonts w:cs="Times New Roman"/>
              </w:rPr>
              <w:tab/>
            </w:r>
            <w:r>
              <w:rPr>
                <w:rFonts w:cs="Times New Roman"/>
              </w:rPr>
              <w:tab/>
            </w:r>
            <w:r>
              <w:rPr>
                <w:rFonts w:cs="Times New Roman"/>
              </w:rPr>
              <w:tab/>
              <w:t>Nom :</w:t>
            </w:r>
          </w:p>
          <w:p>
            <w:pPr>
              <w:keepNext/>
              <w:keepLines/>
              <w:tabs>
                <w:tab w:val="left" w:pos="1490"/>
              </w:tabs>
              <w:spacing w:after="0"/>
              <w:ind w:left="640"/>
              <w:jc w:val="both"/>
              <w:rPr>
                <w:rFonts w:cs="Times New Roman"/>
                <w:color w:val="000000"/>
              </w:rPr>
            </w:pPr>
            <w:r>
              <w:rPr>
                <w:rFonts w:cs="Times New Roman"/>
                <w:color w:val="000000"/>
              </w:rPr>
              <w:t>Qualité :</w: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color w:val="000000"/>
              </w:rPr>
              <w:t>Qualité :</w:t>
            </w:r>
          </w:p>
          <w:p>
            <w:pPr>
              <w:keepNext/>
              <w:spacing w:after="0"/>
              <w:ind w:left="640"/>
              <w:rPr>
                <w:rFonts w:cs="Times New Roman"/>
                <w:b/>
                <w:i/>
                <w:color w:val="000000"/>
              </w:rPr>
            </w:pPr>
          </w:p>
        </w:tc>
      </w:tr>
    </w:tbl>
    <w:p>
      <w:pPr>
        <w:spacing w:after="120"/>
        <w:jc w:val="both"/>
        <w:rPr>
          <w:rFonts w:cs="Times New Roman"/>
        </w:rPr>
      </w:pPr>
    </w:p>
    <w:sectPr>
      <w:headerReference w:type="default" r:id="rId8"/>
      <w:footerReference w:type="default" r:id="rId9"/>
      <w:footerReference w:type="first" r:id="rId10"/>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10102FF" w:usb1="38CF7CFA" w:usb2="0001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spacing w:line="200" w:lineRule="exact"/>
    </w:pPr>
    <w:r>
      <w:tab/>
      <w:t>-</w:t>
    </w:r>
    <w:r>
      <w:rPr>
        <w:rStyle w:val="PageNumber"/>
      </w:rPr>
      <w:fldChar w:fldCharType="begin"/>
    </w:r>
    <w:r>
      <w:rPr>
        <w:rStyle w:val="PageNumber"/>
      </w:rPr>
      <w:instrText xml:space="preserve"> PAGE \* MERGEFORMAT \* MERGEFORMAT </w:instrText>
    </w:r>
    <w:r>
      <w:rPr>
        <w:rStyle w:val="PageNumber"/>
      </w:rPr>
      <w:fldChar w:fldCharType="separate"/>
    </w:r>
    <w:r>
      <w:rPr>
        <w:rStyle w:val="PageNumber"/>
        <w:noProof/>
      </w:rPr>
      <w:t>6</w:t>
    </w:r>
    <w:r>
      <w:rPr>
        <w:rStyle w:val="PageNumber"/>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spacing w:line="200" w:lineRule="exact"/>
      <w:jc w:val="both"/>
      <w:rPr>
        <w:rFonts w:cs="Times New Roman"/>
      </w:rPr>
    </w:pPr>
    <w:r>
      <w:rPr>
        <w:lang w:val="fr-FR"/>
      </w:rPr>
      <w:t>L'ISDA Benchmarks Supplement est protégé par le droit d'auteur de l'</w:t>
    </w:r>
    <w:r>
      <w:rPr>
        <w:i/>
        <w:lang w:val="fr-FR"/>
      </w:rPr>
      <w:t>International Swaps and Derivatives Association, Inc.</w:t>
    </w:r>
    <w:r>
      <w:rPr>
        <w:lang w:val="fr-FR"/>
      </w:rPr>
      <w:t xml:space="preserve"> (ISDA) (2018) et l'usage et la reproduction de ces stipulations sont réalisé avec la permission de l'ISDA. La Fédération bancaire française (FBF), la Convention-cadre relative aux opérations sur instruments financiers à terme et la Convention-cadre relative aux opérations de marché à terme ne sont pas affiliées à l'ISDA et l'ISDA n'a pas participé à la rédaction de ce modèle d'avenant. L'ISDA n'émet aucune opinion, n'effectue aucune déclaration et ne prend aucun engagement, exprès ou tacite, quant au caractère approprié de ce document au regard d'une transaction en particulier et exclu toute responsabilité ou engagement, contractuel ou délictuel, relatif à l'utilisation de l'ISDA Benchmarks Supplement par incorporation dans la Convention-cadre relative aux opérations sur instruments financiers à terme ou la Convention-cadre relative aux opérations de marché à terme. Les utilisateurs de ce documents sont invités à se rapprocher de leur conseil habituel afin de déterminer son caractère approprié au regard de l'usage qui en est envisagé.</w:t>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i/>
          <w:sz w:val="22"/>
          <w:lang w:val="fr-FR"/>
        </w:rPr>
      </w:pPr>
      <w:r>
        <w:rPr>
          <w:rStyle w:val="FootnoteReference"/>
          <w:sz w:val="22"/>
        </w:rPr>
        <w:footnoteRef/>
      </w:r>
      <w:r>
        <w:rPr>
          <w:sz w:val="22"/>
        </w:rPr>
        <w:t xml:space="preserve"> </w:t>
      </w:r>
      <w:r>
        <w:rPr>
          <w:sz w:val="22"/>
          <w:lang w:val="fr-FR"/>
        </w:rPr>
        <w:t>"ISDA" est une marque déposée de l'</w:t>
      </w:r>
      <w:r>
        <w:rPr>
          <w:i/>
          <w:sz w:val="22"/>
          <w:lang w:val="fr-FR"/>
        </w:rPr>
        <w:t xml:space="preserve">International Swaps and Derivatives, Inc. </w:t>
      </w:r>
    </w:p>
    <w:p>
      <w:pPr>
        <w:rPr>
          <w:lang w:val="fr-FR"/>
        </w:rPr>
      </w:pPr>
    </w:p>
  </w:footnote>
  <w:footnote w:id="2">
    <w:p>
      <w:pPr>
        <w:pStyle w:val="FootnoteText"/>
      </w:pPr>
      <w:r>
        <w:rPr>
          <w:rStyle w:val="FootnoteReference"/>
        </w:rPr>
        <w:footnoteRef/>
      </w:r>
      <w:r>
        <w:t xml:space="preserve"> A insérer lorsque les Parties ne souhaitent modifier que les Transactions postérieures.</w:t>
      </w:r>
    </w:p>
  </w:footnote>
  <w:footnote w:id="3">
    <w:p>
      <w:pPr>
        <w:pStyle w:val="FootnoteText"/>
      </w:pPr>
      <w:r>
        <w:rPr>
          <w:rStyle w:val="FootnoteReference"/>
        </w:rPr>
        <w:footnoteRef/>
      </w:r>
      <w:r>
        <w:t xml:space="preserve"> Article 6.1 s'agissant de la version 2013 de la Convention-cadre FBF ; Article 6 s'agissant des autres Conventions-cadre FBF ou AFB.</w:t>
      </w:r>
    </w:p>
  </w:footnote>
  <w:footnote w:id="4">
    <w:p>
      <w:pPr>
        <w:pStyle w:val="FootnoteText"/>
      </w:pPr>
      <w:r>
        <w:rPr>
          <w:rStyle w:val="FootnoteReference"/>
        </w:rPr>
        <w:footnoteRef/>
      </w:r>
      <w:r>
        <w:t xml:space="preserve"> Supprimer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rFonts w:asciiTheme="majorBidi" w:hAnsiTheme="majorBidi" w:cstheme="majorBidi"/>
        <w:b/>
        <w:bCs/>
        <w:i/>
        <w:iCs/>
      </w:rPr>
    </w:pPr>
  </w:p>
  <w:p>
    <w:pPr>
      <w:pStyle w:val="Header"/>
      <w:jc w:val="right"/>
      <w:rPr>
        <w:rFonts w:asciiTheme="majorBidi" w:hAnsiTheme="majorBidi" w:cstheme="majorBidi"/>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B7127"/>
    <w:multiLevelType w:val="multilevel"/>
    <w:tmpl w:val="AB6AA94E"/>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non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38CD-079E-4156-A8BB-A1F2F28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DFKai-SB"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3"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3"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uiPriority="0" w:semiHidden="1" w:unhideWhenUsed="1" w:qFormat="1"/>
    <w:lsdException w:name="Body Text First Indent 2" w:uiPriority="1" w:semiHidden="1" w:unhideWhenUsed="1"/>
    <w:lsdException w:name="Note Heading" w:semiHidden="1" w:unhideWhenUsed="1"/>
    <w:lsdException w:name="Body Text 2" w:uiPriority="1" w:semiHidden="1" w:unhideWhenUsed="1"/>
    <w:lsdException w:name="Body Text 3" w:uiPriority="2" w:semiHidden="1" w:unhideWhenUsed="1"/>
    <w:lsdException w:name="Body Text Indent 2" w:uiPriority="1" w:semiHidden="1" w:unhideWhenUsed="1"/>
    <w:lsdException w:name="Body Text Indent 3" w:uiPriority="2"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style>
  <w:style w:type="paragraph" w:styleId="Heading1">
    <w:name w:val="heading 1"/>
    <w:basedOn w:val="Normal"/>
    <w:next w:val="Normal"/>
    <w:link w:val="Heading1Char"/>
    <w:uiPriority w:val="9"/>
    <w:unhideWhenUsed/>
    <w:pPr>
      <w:keepNext/>
      <w:keepLines/>
      <w:spacing w:after="240"/>
      <w:outlineLvl w:val="0"/>
    </w:pPr>
    <w:rPr>
      <w:rFonts w:cstheme="majorBidi"/>
      <w:b/>
      <w:bCs/>
      <w:szCs w:val="28"/>
    </w:rPr>
  </w:style>
  <w:style w:type="paragraph" w:styleId="Heading2">
    <w:name w:val="heading 2"/>
    <w:basedOn w:val="Normal"/>
    <w:next w:val="Normal"/>
    <w:link w:val="Heading2Char"/>
    <w:uiPriority w:val="9"/>
    <w:semiHidden/>
    <w:unhideWhenUsed/>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DFKai-SB" w:cs="Tahoma"/>
      <w:sz w:val="16"/>
      <w:szCs w:val="16"/>
    </w:rPr>
  </w:style>
  <w:style w:type="paragraph" w:styleId="BlockText">
    <w:name w:val="Block Text"/>
    <w:basedOn w:val="Normal"/>
    <w:qFormat/>
    <w:pPr>
      <w:spacing w:after="240"/>
      <w:ind w:left="720" w:right="720"/>
    </w:pPr>
    <w:rPr>
      <w:iCs/>
    </w:rPr>
  </w:style>
  <w:style w:type="paragraph" w:styleId="BlockText2" w:customStyle="1">
    <w:name w:val="Block Text 2"/>
    <w:basedOn w:val="Normal"/>
    <w:uiPriority w:val="1"/>
    <w:semiHidden/>
    <w:unhideWhenUsed/>
    <w:pPr>
      <w:spacing w:line="480" w:lineRule="auto"/>
      <w:ind w:left="720" w:right="720"/>
    </w:pPr>
  </w:style>
  <w:style w:type="paragraph" w:styleId="BlockText3" w:customStyle="1">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styleId="BodyTextChar" w:customStyle="1">
    <w:name w:val="Body Text Char"/>
    <w:basedOn w:val="DefaultParagraphFont"/>
    <w:link w:val="BodyText"/>
    <w:rPr>
      <w:rFonts w:ascii="Times New Roman" w:hAnsi="Times New Roman" w:eastAsia="DFKai-SB" w:cs="Times New Roman"/>
      <w:sz w:val="24"/>
      <w:szCs w:val="24"/>
    </w:rPr>
  </w:style>
  <w:style w:type="paragraph" w:styleId="BodyText2">
    <w:name w:val="Body Text 2"/>
    <w:basedOn w:val="Normal"/>
    <w:link w:val="BodyText2Char"/>
    <w:uiPriority w:val="1"/>
    <w:semiHidden/>
    <w:unhideWhenUsed/>
    <w:pPr>
      <w:spacing w:line="480" w:lineRule="auto"/>
    </w:pPr>
  </w:style>
  <w:style w:type="character" w:styleId="BodyText2Char" w:customStyle="1">
    <w:name w:val="Body Text 2 Char"/>
    <w:basedOn w:val="DefaultParagraphFont"/>
    <w:link w:val="BodyText2"/>
    <w:uiPriority w:val="1"/>
    <w:semiHidden/>
    <w:rPr>
      <w:rFonts w:ascii="Times New Roman" w:hAnsi="Times New Roman" w:eastAsia="DFKai-SB"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styleId="BodyText3Char" w:customStyle="1">
    <w:name w:val="Body Text 3 Char"/>
    <w:basedOn w:val="DefaultParagraphFont"/>
    <w:link w:val="BodyText3"/>
    <w:uiPriority w:val="2"/>
    <w:semiHidden/>
    <w:rPr>
      <w:rFonts w:ascii="Times New Roman" w:hAnsi="Times New Roman" w:eastAsia="DFKai-SB"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styleId="BodyTextFirstIndentChar" w:customStyle="1">
    <w:name w:val="Body Text First Indent Char"/>
    <w:basedOn w:val="BodyTextChar"/>
    <w:link w:val="BodyTextFirstIndent"/>
    <w:rPr>
      <w:rFonts w:ascii="Times New Roman" w:hAnsi="Times New Roman" w:eastAsia="DFKai-SB" w:cs="Times New Roman"/>
      <w:sz w:val="24"/>
      <w:szCs w:val="24"/>
    </w:rPr>
  </w:style>
  <w:style w:type="paragraph" w:styleId="BodyTextIndent">
    <w:name w:val="Body Text Indent"/>
    <w:basedOn w:val="Normal"/>
    <w:link w:val="BodyTextIndentChar"/>
    <w:qFormat/>
    <w:pPr>
      <w:spacing w:after="240"/>
      <w:ind w:left="720"/>
    </w:pPr>
  </w:style>
  <w:style w:type="character" w:styleId="BodyTextIndentChar" w:customStyle="1">
    <w:name w:val="Body Text Indent Char"/>
    <w:basedOn w:val="DefaultParagraphFont"/>
    <w:link w:val="BodyTextIndent"/>
    <w:rPr>
      <w:rFonts w:ascii="Times New Roman" w:hAnsi="Times New Roman" w:eastAsia="DFKai-SB"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styleId="BodyTextFirstIndent2Char" w:customStyle="1">
    <w:name w:val="Body Text First Indent 2 Char"/>
    <w:basedOn w:val="BodyTextIndentChar"/>
    <w:link w:val="BodyTextFirstIndent2"/>
    <w:uiPriority w:val="1"/>
    <w:semiHidden/>
    <w:rPr>
      <w:rFonts w:ascii="Times New Roman" w:hAnsi="Times New Roman" w:eastAsia="DFKai-SB" w:cs="Times New Roman"/>
      <w:sz w:val="24"/>
      <w:szCs w:val="24"/>
    </w:rPr>
  </w:style>
  <w:style w:type="paragraph" w:styleId="BodyTextFirstIndent3" w:customStyle="1">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styleId="BodyTextIndent2Char" w:customStyle="1">
    <w:name w:val="Body Text Indent 2 Char"/>
    <w:basedOn w:val="DefaultParagraphFont"/>
    <w:link w:val="BodyTextIndent2"/>
    <w:uiPriority w:val="1"/>
    <w:semiHidden/>
    <w:rPr>
      <w:rFonts w:ascii="Times New Roman" w:hAnsi="Times New Roman" w:eastAsia="DFKai-SB"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styleId="BodyTextIndent3Char" w:customStyle="1">
    <w:name w:val="Body Text Indent 3 Char"/>
    <w:basedOn w:val="DefaultParagraphFont"/>
    <w:link w:val="BodyTextIndent3"/>
    <w:uiPriority w:val="2"/>
    <w:semiHidden/>
    <w:rPr>
      <w:rFonts w:ascii="Times New Roman" w:hAnsi="Times New Roman" w:eastAsia="DFKai-SB" w:cs="Times New Roman"/>
      <w:sz w:val="24"/>
      <w:szCs w:val="16"/>
    </w:rPr>
  </w:style>
  <w:style w:type="paragraph" w:styleId="Caption">
    <w:name w:val="caption"/>
    <w:basedOn w:val="Normal"/>
    <w:next w:val="Normal"/>
    <w:uiPriority w:val="35"/>
    <w:semiHidden/>
    <w:unhideWhenUsed/>
    <w:qFormat/>
    <w:rPr>
      <w:b/>
      <w:bCs/>
      <w:sz w:val="18"/>
      <w:szCs w:val="18"/>
    </w:rPr>
  </w:style>
  <w:style w:type="paragraph" w:styleId="Closing">
    <w:name w:val="Closing"/>
    <w:basedOn w:val="Normal"/>
    <w:next w:val="Signature"/>
    <w:link w:val="ClosingChar"/>
    <w:uiPriority w:val="99"/>
    <w:semiHidden/>
    <w:unhideWhenUsed/>
    <w:pPr>
      <w:ind w:left="4680"/>
    </w:pPr>
  </w:style>
  <w:style w:type="character" w:styleId="ClosingChar" w:customStyle="1">
    <w:name w:val="Closing Char"/>
    <w:basedOn w:val="DefaultParagraphFont"/>
    <w:link w:val="Closing"/>
    <w:uiPriority w:val="99"/>
    <w:semiHidden/>
    <w:rPr>
      <w:rFonts w:ascii="Times New Roman" w:hAnsi="Times New Roman" w:eastAsia="DFKai-SB" w:cs="Times New Roman"/>
      <w:sz w:val="24"/>
      <w:szCs w:val="24"/>
    </w:rPr>
  </w:style>
  <w:style w:type="paragraph" w:styleId="Signature">
    <w:name w:val="Signature"/>
    <w:basedOn w:val="Normal"/>
    <w:next w:val="Normal"/>
    <w:link w:val="SignatureChar"/>
    <w:uiPriority w:val="3"/>
    <w:qFormat/>
    <w:pPr>
      <w:spacing w:before="720"/>
      <w:ind w:left="4680"/>
    </w:pPr>
  </w:style>
  <w:style w:type="character" w:styleId="SignatureChar" w:customStyle="1">
    <w:name w:val="Signature Char"/>
    <w:basedOn w:val="DefaultParagraphFont"/>
    <w:link w:val="Signature"/>
    <w:uiPriority w:val="3"/>
    <w:rPr>
      <w:rFonts w:ascii="Times New Roman" w:hAnsi="Times New Roman" w:eastAsia="DFKai-SB" w:cs="Times New Roman"/>
      <w:sz w:val="24"/>
      <w:szCs w:val="24"/>
    </w:rPr>
  </w:style>
  <w:style w:type="table" w:styleId="ColorfulGrid">
    <w:name w:val="Colorful Grid"/>
    <w:basedOn w:val="TableNormal"/>
    <w:uiPriority w:val="73"/>
    <w:pPr>
      <w:spacing w:after="0" w:line="240" w:lineRule="auto"/>
    </w:pPr>
    <w:rPr>
      <w:rFonts w:cs="Times New Roman"/>
      <w:color w:val="000000" w:themeColor="text1"/>
      <w:sz w:val="24"/>
      <w:szCs w:val="24"/>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styleId="DateChar" w:customStyle="1">
    <w:name w:val="Date Char"/>
    <w:basedOn w:val="DefaultParagraphFont"/>
    <w:link w:val="Date"/>
    <w:rPr>
      <w:rFonts w:ascii="Times New Roman" w:hAnsi="Times New Roman" w:eastAsia="DFKai-SB"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styleId="EndnoteTextChar" w:customStyle="1">
    <w:name w:val="Endnote Text Char"/>
    <w:basedOn w:val="DefaultParagraphFont"/>
    <w:link w:val="EndnoteText"/>
    <w:uiPriority w:val="99"/>
    <w:semiHidden/>
    <w:rPr>
      <w:rFonts w:ascii="Times New Roman" w:hAnsi="Times New Roman" w:eastAsia="DFKai-SB" w:cs="Times New Roman"/>
      <w:sz w:val="20"/>
      <w:szCs w:val="20"/>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style>
  <w:style w:type="paragraph" w:styleId="FootnoteText">
    <w:name w:val="footnote text"/>
    <w:basedOn w:val="Normal"/>
    <w:next w:val="Normal"/>
    <w:link w:val="FootnoteTextChar"/>
    <w:uiPriority w:val="3"/>
    <w:unhideWhenUsed/>
    <w:pPr>
      <w:spacing w:after="120"/>
    </w:pPr>
    <w:rPr>
      <w:sz w:val="20"/>
      <w:szCs w:val="20"/>
    </w:rPr>
  </w:style>
  <w:style w:type="character" w:styleId="FootnoteTextChar" w:customStyle="1">
    <w:name w:val="Footnote Text Char"/>
    <w:basedOn w:val="DefaultParagraphFont"/>
    <w:link w:val="FootnoteText"/>
    <w:uiPriority w:val="3"/>
    <w:rPr>
      <w:rFonts w:ascii="Times New Roman" w:hAnsi="Times New Roman" w:eastAsiaTheme="minorEastAsia"/>
      <w:sz w:val="20"/>
      <w:szCs w:val="20"/>
      <w:lang w:val="fr-FR" w:eastAsia="fr-FR"/>
    </w:rPr>
  </w:style>
  <w:style w:type="paragraph" w:styleId="FootnoteContinued" w:customStyle="1">
    <w:name w:val="Footnote Continued"/>
    <w:basedOn w:val="FootnoteText"/>
    <w:uiPriority w:val="3"/>
    <w:qFormat/>
  </w:style>
  <w:style w:type="paragraph" w:styleId="FootnoteQuote" w:customStyle="1">
    <w:name w:val="Footnote Quote"/>
    <w:basedOn w:val="FootnoteText"/>
    <w:uiPriority w:val="3"/>
    <w:qFormat/>
    <w:pPr>
      <w:ind w:left="1440" w:right="1440"/>
    </w:pPr>
  </w:style>
  <w:style w:type="character" w:styleId="FootnoteReference">
    <w:name w:val="footnote reference"/>
    <w:basedOn w:val="DefaultParagraphFont"/>
    <w:uiPriority w:val="99"/>
    <w:semiHidden/>
    <w:unhideWhenUsed/>
    <w:rPr>
      <w:vertAlign w:val="superscript"/>
    </w:rPr>
  </w:style>
  <w:style w:type="paragraph" w:styleId="FootnoteSeparator" w:customStyle="1">
    <w:name w:val="Footnote Separator"/>
    <w:basedOn w:val="Normal"/>
    <w:uiPriority w:val="19"/>
    <w:semiHidden/>
    <w:rPr>
      <w:sz w:val="20"/>
    </w:rPr>
  </w:style>
  <w:style w:type="paragraph" w:styleId="GraphicC" w:customStyle="1">
    <w:name w:val="GraphicC"/>
    <w:basedOn w:val="Normal"/>
    <w:uiPriority w:val="3"/>
    <w:pPr>
      <w:spacing w:after="240"/>
      <w:jc w:val="center"/>
    </w:pPr>
  </w:style>
  <w:style w:type="paragraph" w:styleId="GraphicL" w:customStyle="1">
    <w:name w:val="GraphicL"/>
    <w:basedOn w:val="Normal"/>
    <w:uiPriority w:val="3"/>
    <w:pPr>
      <w:spacing w:after="240"/>
    </w:pPr>
  </w:style>
  <w:style w:type="paragraph" w:styleId="GraphicR" w:customStyle="1">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eastAsia="DFKai-SB" w:cs="Times New Roman"/>
      <w:sz w:val="24"/>
      <w:szCs w:val="24"/>
    </w:rPr>
  </w:style>
  <w:style w:type="character" w:styleId="Heading1Char" w:customStyle="1">
    <w:name w:val="Heading 1 Char"/>
    <w:basedOn w:val="DefaultParagraphFont"/>
    <w:link w:val="Heading1"/>
    <w:uiPriority w:val="9"/>
    <w:rPr>
      <w:rFonts w:ascii="Times New Roman" w:hAnsi="Times New Roman" w:eastAsia="DFKai-SB" w:cstheme="majorBidi"/>
      <w:b/>
      <w:bCs/>
      <w:sz w:val="24"/>
      <w:szCs w:val="28"/>
    </w:rPr>
  </w:style>
  <w:style w:type="character" w:styleId="Heading2Char" w:customStyle="1">
    <w:name w:val="Heading 2 Char"/>
    <w:basedOn w:val="DefaultParagraphFont"/>
    <w:link w:val="Heading2"/>
    <w:uiPriority w:val="9"/>
    <w:semiHidden/>
    <w:rPr>
      <w:rFonts w:ascii="Times New Roman" w:hAnsi="Times New Roman" w:eastAsia="DFKai-SB" w:cstheme="majorBidi"/>
      <w:b/>
      <w:bCs/>
      <w:sz w:val="24"/>
      <w:szCs w:val="26"/>
    </w:rPr>
  </w:style>
  <w:style w:type="character" w:styleId="Heading3Char" w:customStyle="1">
    <w:name w:val="Heading 3 Char"/>
    <w:basedOn w:val="DefaultParagraphFont"/>
    <w:link w:val="Heading3"/>
    <w:uiPriority w:val="9"/>
    <w:semiHidden/>
    <w:rPr>
      <w:rFonts w:ascii="Times New Roman" w:hAnsi="Times New Roman" w:eastAsia="DFKai-SB" w:cstheme="majorBidi"/>
      <w:bCs/>
      <w:sz w:val="24"/>
      <w:szCs w:val="24"/>
    </w:rPr>
  </w:style>
  <w:style w:type="character" w:styleId="Heading4Char" w:customStyle="1">
    <w:name w:val="Heading 4 Char"/>
    <w:basedOn w:val="DefaultParagraphFont"/>
    <w:link w:val="Heading4"/>
    <w:uiPriority w:val="9"/>
    <w:semiHidden/>
    <w:rPr>
      <w:rFonts w:ascii="Times New Roman" w:hAnsi="Times New Roman" w:eastAsia="DFKai-SB" w:cstheme="majorBidi"/>
      <w:bCs/>
      <w:iCs/>
      <w:sz w:val="24"/>
      <w:szCs w:val="24"/>
    </w:rPr>
  </w:style>
  <w:style w:type="character" w:styleId="Heading5Char" w:customStyle="1">
    <w:name w:val="Heading 5 Char"/>
    <w:basedOn w:val="DefaultParagraphFont"/>
    <w:link w:val="Heading5"/>
    <w:uiPriority w:val="9"/>
    <w:semiHidden/>
    <w:rPr>
      <w:rFonts w:ascii="Times New Roman" w:hAnsi="Times New Roman" w:eastAsia="DFKai-SB" w:cstheme="majorBidi"/>
      <w:sz w:val="24"/>
      <w:szCs w:val="24"/>
    </w:rPr>
  </w:style>
  <w:style w:type="character" w:styleId="Heading6Char" w:customStyle="1">
    <w:name w:val="Heading 6 Char"/>
    <w:basedOn w:val="DefaultParagraphFont"/>
    <w:link w:val="Heading6"/>
    <w:uiPriority w:val="9"/>
    <w:semiHidden/>
    <w:rPr>
      <w:rFonts w:ascii="Times New Roman" w:hAnsi="Times New Roman" w:eastAsia="DFKai-SB" w:cstheme="majorBidi"/>
      <w:iCs/>
      <w:sz w:val="24"/>
      <w:szCs w:val="24"/>
    </w:rPr>
  </w:style>
  <w:style w:type="character" w:styleId="Heading7Char" w:customStyle="1">
    <w:name w:val="Heading 7 Char"/>
    <w:basedOn w:val="DefaultParagraphFont"/>
    <w:link w:val="Heading7"/>
    <w:uiPriority w:val="9"/>
    <w:semiHidden/>
    <w:rPr>
      <w:rFonts w:ascii="Times New Roman" w:hAnsi="Times New Roman" w:eastAsia="DFKai-SB" w:cstheme="majorBidi"/>
      <w:iCs/>
      <w:sz w:val="24"/>
      <w:szCs w:val="24"/>
    </w:rPr>
  </w:style>
  <w:style w:type="character" w:styleId="Heading8Char" w:customStyle="1">
    <w:name w:val="Heading 8 Char"/>
    <w:basedOn w:val="DefaultParagraphFont"/>
    <w:link w:val="Heading8"/>
    <w:uiPriority w:val="9"/>
    <w:semiHidden/>
    <w:rPr>
      <w:rFonts w:ascii="Times New Roman" w:hAnsi="Times New Roman" w:eastAsia="DFKai-SB" w:cstheme="majorBidi"/>
      <w:sz w:val="24"/>
      <w:szCs w:val="20"/>
    </w:rPr>
  </w:style>
  <w:style w:type="character" w:styleId="Heading9Char" w:customStyle="1">
    <w:name w:val="Heading 9 Char"/>
    <w:basedOn w:val="DefaultParagraphFont"/>
    <w:link w:val="Heading9"/>
    <w:uiPriority w:val="9"/>
    <w:semiHidden/>
    <w:rPr>
      <w:rFonts w:ascii="Times New Roman" w:hAnsi="Times New Roman" w:eastAsia="DFKai-SB" w:cstheme="majorBidi"/>
      <w:iCs/>
      <w:sz w:val="24"/>
      <w:szCs w:val="20"/>
    </w:rPr>
  </w:style>
  <w:style w:type="paragraph" w:styleId="NoticeBlock" w:customStyle="1">
    <w:name w:val="Notice Block"/>
    <w:basedOn w:val="Normal"/>
    <w:uiPriority w:val="3"/>
    <w:pPr>
      <w:keepLines/>
      <w:spacing w:after="240"/>
      <w:ind w:left="720" w:hanging="720"/>
    </w:pPr>
  </w:style>
  <w:style w:type="paragraph" w:styleId="NoticeBlockIndent1" w:customStyle="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styleId="QuoteChar" w:customStyle="1">
    <w:name w:val="Quote Char"/>
    <w:basedOn w:val="DefaultParagraphFont"/>
    <w:link w:val="Quote"/>
    <w:rPr>
      <w:rFonts w:ascii="Times New Roman" w:hAnsi="Times New Roman" w:eastAsia="DFKai-SB"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styleId="SalutationChar" w:customStyle="1">
    <w:name w:val="Salutation Char"/>
    <w:basedOn w:val="DefaultParagraphFont"/>
    <w:link w:val="Salutation"/>
    <w:uiPriority w:val="99"/>
    <w:semiHidden/>
    <w:rPr>
      <w:rFonts w:ascii="Times New Roman" w:hAnsi="Times New Roman" w:eastAsia="DFKai-SB" w:cs="Times New Roman"/>
      <w:sz w:val="24"/>
      <w:szCs w:val="24"/>
    </w:rPr>
  </w:style>
  <w:style w:type="paragraph" w:styleId="SignatureByLine" w:customStyle="1">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styleId="SubtitleChar" w:customStyle="1">
    <w:name w:val="Subtitle Char"/>
    <w:basedOn w:val="DefaultParagraphFont"/>
    <w:link w:val="Subtitle"/>
    <w:rPr>
      <w:rFonts w:ascii="Times New Roman" w:hAnsi="Times New Roman" w:eastAsia="DFKai-SB" w:cs="Times New Roman"/>
      <w:b/>
      <w:iCs/>
      <w:sz w:val="24"/>
      <w:szCs w:val="24"/>
    </w:rPr>
  </w:style>
  <w:style w:type="paragraph" w:styleId="SubtitleLeft" w:customStyle="1">
    <w:name w:val="Subtitle Left"/>
    <w:basedOn w:val="Normal"/>
    <w:next w:val="BodyTextFirstIndent"/>
    <w:qFormat/>
    <w:pPr>
      <w:keepNext/>
      <w:spacing w:after="240"/>
      <w:contextualSpacing/>
    </w:pPr>
    <w:rPr>
      <w:b/>
    </w:rPr>
  </w:style>
  <w:style w:type="table" w:styleId="TableGrid">
    <w:name w:val="Table Grid"/>
    <w:basedOn w:val="TableNormal"/>
    <w:uiPriority w:val="59"/>
    <w:pPr>
      <w:spacing w:after="0" w:line="240" w:lineRule="auto"/>
    </w:pPr>
    <w:rPr>
      <w:rFonts w:cs="Times New Roman"/>
      <w:sz w:val="24"/>
      <w:szCs w:val="24"/>
      <w:lang w:eastAsia="zh-C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styleId="TitleChar" w:customStyle="1">
    <w:name w:val="Title Char"/>
    <w:basedOn w:val="DefaultParagraphFont"/>
    <w:link w:val="Title"/>
    <w:rPr>
      <w:rFonts w:ascii="Times New Roman" w:hAnsi="Times New Roman" w:eastAsia="DFKai-SB" w:cs="Times New Roman"/>
      <w:b/>
      <w:caps/>
      <w:sz w:val="24"/>
      <w:szCs w:val="52"/>
    </w:rPr>
  </w:style>
  <w:style w:type="paragraph" w:styleId="TitleLeft" w:customStyle="1">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semiHidden/>
    <w:unhideWhenUsed/>
    <w:qFormat/>
    <w:pPr>
      <w:spacing w:after="240"/>
      <w:jc w:val="center"/>
    </w:pPr>
    <w:rPr>
      <w:b/>
      <w:caps/>
    </w:rPr>
  </w:style>
  <w:style w:type="character" w:styleId="zzmpTrailerItem" w:customStyle="1">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99"/>
    <w:semiHidden/>
    <w:pPr>
      <w:spacing w:after="0" w:line="240" w:lineRule="auto"/>
    </w:pPr>
    <w:rPr>
      <w:rFonts w:eastAsiaTheme="minorEastAsia"/>
      <w:lang w:val="fr-FR" w:eastAsia="fr-FR"/>
    </w:rPr>
  </w:style>
  <w:style w:type="paragraph" w:styleId="FBFCont1" w:customStyle="1">
    <w:name w:val="FBF Cont 1"/>
    <w:basedOn w:val="Normal"/>
    <w:next w:val="BodyText"/>
    <w:link w:val="FBFCont1Char"/>
    <w:pPr>
      <w:keepNext/>
      <w:tabs>
        <w:tab w:val="left" w:pos="1134"/>
      </w:tabs>
      <w:spacing w:after="240" w:line="240" w:lineRule="auto"/>
      <w:ind w:left="1843"/>
      <w:jc w:val="both"/>
    </w:pPr>
    <w:rPr>
      <w:rFonts w:eastAsia="SimSun" w:cs="Times New Roman"/>
      <w:szCs w:val="24"/>
    </w:rPr>
  </w:style>
  <w:style w:type="character" w:styleId="FBFCont1Char" w:customStyle="1">
    <w:name w:val="FBF Cont 1 Char"/>
    <w:basedOn w:val="DefaultParagraphFont"/>
    <w:link w:val="FBFCont1"/>
    <w:rPr>
      <w:rFonts w:ascii="Times New Roman" w:hAnsi="Times New Roman" w:eastAsia="SimSun" w:cs="Times New Roman"/>
      <w:szCs w:val="24"/>
    </w:rPr>
  </w:style>
  <w:style w:type="paragraph" w:styleId="FBFL1" w:customStyle="1">
    <w:name w:val="FBF_L1"/>
    <w:basedOn w:val="Normal"/>
    <w:next w:val="BodyText"/>
    <w:link w:val="FBFL1Char"/>
    <w:pPr>
      <w:keepNext/>
      <w:numPr>
        <w:numId w:val="1"/>
      </w:numPr>
      <w:spacing w:after="240" w:line="240" w:lineRule="auto"/>
      <w:ind w:left="1843"/>
      <w:jc w:val="both"/>
      <w:outlineLvl w:val="0"/>
    </w:pPr>
    <w:rPr>
      <w:rFonts w:eastAsia="SimSun" w:cs="Times New Roman"/>
      <w:b/>
      <w:caps/>
      <w:szCs w:val="20"/>
      <w:u w:val="single"/>
    </w:rPr>
  </w:style>
  <w:style w:type="character" w:styleId="FBFL1Char" w:customStyle="1">
    <w:name w:val="FBF_L1 Char"/>
    <w:basedOn w:val="DefaultParagraphFont"/>
    <w:link w:val="FBFL1"/>
    <w:rPr>
      <w:rFonts w:ascii="Times New Roman" w:hAnsi="Times New Roman" w:eastAsia="SimSun" w:cs="Times New Roman"/>
      <w:b/>
      <w:caps/>
      <w:szCs w:val="20"/>
      <w:u w:val="single"/>
    </w:rPr>
  </w:style>
  <w:style w:type="paragraph" w:styleId="FBFL2" w:customStyle="1">
    <w:name w:val="FBF_L2"/>
    <w:basedOn w:val="Normal"/>
    <w:next w:val="BodyText"/>
    <w:link w:val="FBFL2Char"/>
    <w:pPr>
      <w:keepNext/>
      <w:numPr>
        <w:ilvl w:val="1"/>
        <w:numId w:val="1"/>
      </w:numPr>
      <w:spacing w:after="240" w:line="240" w:lineRule="auto"/>
      <w:ind w:left="1843"/>
      <w:jc w:val="both"/>
      <w:outlineLvl w:val="1"/>
    </w:pPr>
    <w:rPr>
      <w:rFonts w:eastAsia="SimSun" w:cs="Times New Roman"/>
      <w:szCs w:val="20"/>
    </w:rPr>
  </w:style>
  <w:style w:type="character" w:styleId="FBFL2Char" w:customStyle="1">
    <w:name w:val="FBF_L2 Char"/>
    <w:basedOn w:val="DefaultParagraphFont"/>
    <w:link w:val="FBFL2"/>
    <w:rPr>
      <w:rFonts w:ascii="Times New Roman" w:hAnsi="Times New Roman" w:eastAsia="SimSun" w:cs="Times New Roman"/>
      <w:szCs w:val="20"/>
    </w:rPr>
  </w:style>
  <w:style w:type="paragraph" w:styleId="FBFL3" w:customStyle="1">
    <w:name w:val="FBF_L3"/>
    <w:basedOn w:val="Normal"/>
    <w:next w:val="BodyText"/>
    <w:link w:val="FBFL3Char"/>
    <w:pPr>
      <w:numPr>
        <w:ilvl w:val="2"/>
        <w:numId w:val="1"/>
      </w:numPr>
      <w:spacing w:after="240" w:line="240" w:lineRule="auto"/>
      <w:ind w:left="1843"/>
      <w:jc w:val="both"/>
      <w:outlineLvl w:val="2"/>
    </w:pPr>
    <w:rPr>
      <w:rFonts w:eastAsia="SimSun" w:cs="Times New Roman"/>
      <w:szCs w:val="20"/>
    </w:rPr>
  </w:style>
  <w:style w:type="character" w:styleId="FBFL3Char" w:customStyle="1">
    <w:name w:val="FBF_L3 Char"/>
    <w:basedOn w:val="DefaultParagraphFont"/>
    <w:link w:val="FBFL3"/>
    <w:rPr>
      <w:rFonts w:ascii="Times New Roman" w:hAnsi="Times New Roman" w:eastAsia="SimSun" w:cs="Times New Roman"/>
      <w:szCs w:val="20"/>
    </w:rPr>
  </w:style>
  <w:style w:type="paragraph" w:styleId="FBFL4" w:customStyle="1">
    <w:name w:val="FBF_L4"/>
    <w:basedOn w:val="Normal"/>
    <w:next w:val="BodyText"/>
    <w:link w:val="FBFL4Char"/>
    <w:pPr>
      <w:numPr>
        <w:ilvl w:val="3"/>
        <w:numId w:val="1"/>
      </w:numPr>
      <w:spacing w:after="240" w:line="240" w:lineRule="auto"/>
      <w:ind w:left="1701" w:hanging="567"/>
      <w:jc w:val="both"/>
      <w:outlineLvl w:val="3"/>
    </w:pPr>
    <w:rPr>
      <w:rFonts w:eastAsia="SimSun" w:cs="Times New Roman"/>
      <w:szCs w:val="20"/>
    </w:rPr>
  </w:style>
  <w:style w:type="character" w:styleId="FBFL4Char" w:customStyle="1">
    <w:name w:val="FBF_L4 Char"/>
    <w:basedOn w:val="DefaultParagraphFont"/>
    <w:link w:val="FBFL4"/>
    <w:rPr>
      <w:rFonts w:ascii="Times New Roman" w:hAnsi="Times New Roman" w:eastAsia="SimSun" w:cs="Times New Roman"/>
      <w:szCs w:val="20"/>
    </w:rPr>
  </w:style>
  <w:style w:type="character" w:styleId="PageNumber">
    <w:name w:val="page number"/>
    <w:basedOn w:val="DefaultParagraphFon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1795</Words>
  <Characters>10234</Characters>
  <Application>
  </Application>
  <DocSecurity>0</DocSecurity>
  <Lines>85</Lines>
  <Paragraphs>24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"[X]	ISDA Benchmarks Supplement</vt:lpstr>
      <vt:lpstr>    2006 Definitions Benchmarks Annex</vt:lpstr>
      <vt:lpstr>        Toute référence dans la 2006 Definitions Benchmarks Annex aux 2006 ISDA Definiti</vt:lpstr>
      <vt:lpstr>        Nonobstant toute stipulation contraire de la 2006 Definitions Benchmarks Annex, </vt:lpstr>
      <vt:lpstr>        Les Sections 1.5 (a) et (b) de la 2006 Definitions Benchmarks Annex sont supprim</vt:lpstr>
      <vt:lpstr>        Les références au "Potential Event of Default" à la Section 3.1(c) de la 2006 De</vt:lpstr>
      <vt:lpstr>        Toute référence, dans la 2006 Definitions Benchmarks Annex, au Contrat-Cadre ISD</vt:lpstr>
      <vt:lpstr>    2002 Equity Definitions Benchmarks Annex</vt:lpstr>
      <vt:lpstr>        Toute référence dans la 2002 Equity Definitions Benchmarks Annex aux 2002 Equity</vt:lpstr>
      <vt:lpstr>        Nonobstant toute stipulation contraire de la 2002 Equity Definitions Benchmarks </vt:lpstr>
      <vt:lpstr>        Toute référence, dans la 2002 Equity Definitions Benchmarks Annex, au Contrat-Ca</vt:lpstr>
      <vt:lpstr>    1998 FX Definitions Benchmarks Annex </vt:lpstr>
      <vt:lpstr>        Toute référence dans la 1998 FX Definitions Benchmarks Annex aux 1998 FX Definit</vt:lpstr>
      <vt:lpstr>        Nonobstant toute stipulation contraire de la 1998 FX Definitions Benchmarks Anne</vt:lpstr>
      <vt:lpstr>        Toute référence, dans la 1998 FX Definitions Benchmarks Annex, au Contrat-Cadre </vt:lpstr>
      <vt:lpstr>    2005 Commodity Definitions Benchmarks Annex</vt:lpstr>
      <vt:lpstr>        Toute référence dans la 2005 Commodity Definitions Benchmarks Annex aux 2005 ISD</vt:lpstr>
      <vt:lpstr>        Nonobstant toute stipulation contraire de la 2005 Commodity Definitions Benchmar</vt:lpstr>
      <vt:lpstr>        Toute référence, dans la 2005 Commodity Definitions Benchmarks Annex, au Contrat</vt:lpstr>
    </vt:vector>
  </TitlesOfParts>
  <Company>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1900-01-01T05:00:00Z</dcterms:created>
  <dcterms:modified xsi:type="dcterms:W3CDTF">1900-01-01T05:00:00Z</dcterms:modified>
</cp:coreProperties>
</file>